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5E" w:rsidRPr="006F2CAE" w:rsidRDefault="00900C5E" w:rsidP="00900C5E">
      <w:pPr>
        <w:ind w:left="1276" w:hanging="1276"/>
        <w:jc w:val="both"/>
        <w:rPr>
          <w:sz w:val="28"/>
          <w:szCs w:val="28"/>
        </w:rPr>
      </w:pPr>
      <w:r w:rsidRPr="006F2CAE">
        <w:rPr>
          <w:sz w:val="28"/>
          <w:szCs w:val="28"/>
          <w:u w:val="single"/>
        </w:rPr>
        <w:t>CURSO</w:t>
      </w:r>
      <w:r w:rsidRPr="006F2CAE">
        <w:rPr>
          <w:sz w:val="28"/>
          <w:szCs w:val="28"/>
        </w:rPr>
        <w:t>: PERITO JUDICIAL EN VALORACIONES Y TASACIONES INMOBILIARIAS.</w:t>
      </w:r>
    </w:p>
    <w:p w:rsidR="00900C5E" w:rsidRDefault="00900C5E" w:rsidP="00900C5E">
      <w:pPr>
        <w:tabs>
          <w:tab w:val="left" w:pos="4979"/>
        </w:tabs>
        <w:ind w:left="2268" w:hanging="2268"/>
        <w:jc w:val="both"/>
        <w:rPr>
          <w:sz w:val="28"/>
          <w:szCs w:val="28"/>
          <w:u w:val="single"/>
        </w:rPr>
      </w:pPr>
      <w:r w:rsidRPr="006F2CAE">
        <w:rPr>
          <w:sz w:val="28"/>
          <w:szCs w:val="28"/>
          <w:u w:val="single"/>
        </w:rPr>
        <w:t>IMPARTIDO POR</w:t>
      </w:r>
      <w:r w:rsidRPr="006F2CAE">
        <w:rPr>
          <w:sz w:val="28"/>
          <w:szCs w:val="28"/>
        </w:rPr>
        <w:t>: CENTRO FORMATIVO DE LA ASOCIACIÓN JUDICIAL NACIONAL DE PERITOS.</w:t>
      </w:r>
    </w:p>
    <w:p w:rsidR="00900C5E" w:rsidRDefault="00824907" w:rsidP="00053CC0">
      <w:pPr>
        <w:tabs>
          <w:tab w:val="left" w:pos="4979"/>
        </w:tabs>
        <w:spacing w:before="10000"/>
        <w:jc w:val="right"/>
        <w:rPr>
          <w:sz w:val="28"/>
          <w:szCs w:val="28"/>
        </w:rPr>
      </w:pPr>
      <w:r>
        <w:rPr>
          <w:sz w:val="28"/>
          <w:szCs w:val="28"/>
          <w:u w:val="single"/>
        </w:rPr>
        <w:t>EJERCICIOS DEL BLOQUE 1</w:t>
      </w:r>
      <w:r w:rsidR="00900C5E" w:rsidRPr="00900C5E">
        <w:rPr>
          <w:sz w:val="28"/>
          <w:szCs w:val="28"/>
        </w:rPr>
        <w:t xml:space="preserve">: </w:t>
      </w:r>
      <w:r w:rsidRPr="00824907">
        <w:rPr>
          <w:sz w:val="28"/>
          <w:szCs w:val="28"/>
        </w:rPr>
        <w:t>LA LEY DE ENJUICIAMIENTO CIVIL DE 2000 Y EL PERITAJE.</w:t>
      </w:r>
    </w:p>
    <w:p w:rsidR="00900C5E" w:rsidRPr="00900C5E" w:rsidRDefault="00900C5E" w:rsidP="00900C5E">
      <w:pPr>
        <w:tabs>
          <w:tab w:val="left" w:pos="4979"/>
        </w:tabs>
        <w:rPr>
          <w:sz w:val="28"/>
          <w:szCs w:val="28"/>
        </w:rPr>
        <w:sectPr w:rsidR="00900C5E" w:rsidRPr="00900C5E">
          <w:footerReference w:type="default" r:id="rId8"/>
          <w:pgSz w:w="11906" w:h="16838"/>
          <w:pgMar w:top="1417" w:right="1701" w:bottom="1417" w:left="1701" w:header="708" w:footer="708" w:gutter="0"/>
          <w:cols w:space="708"/>
          <w:docGrid w:linePitch="360"/>
        </w:sectPr>
      </w:pPr>
      <w:r>
        <w:rPr>
          <w:sz w:val="28"/>
          <w:szCs w:val="28"/>
        </w:rPr>
        <w:tab/>
      </w:r>
    </w:p>
    <w:p w:rsidR="00393248" w:rsidRPr="006F2CAE" w:rsidRDefault="00393248" w:rsidP="006F2CAE">
      <w:pPr>
        <w:jc w:val="center"/>
        <w:rPr>
          <w:sz w:val="28"/>
          <w:szCs w:val="28"/>
        </w:rPr>
      </w:pPr>
    </w:p>
    <w:sdt>
      <w:sdtPr>
        <w:rPr>
          <w:rFonts w:asciiTheme="minorHAnsi" w:eastAsiaTheme="minorHAnsi" w:hAnsiTheme="minorHAnsi" w:cstheme="minorBidi"/>
          <w:color w:val="auto"/>
          <w:sz w:val="22"/>
          <w:szCs w:val="22"/>
          <w:lang w:eastAsia="en-US"/>
        </w:rPr>
        <w:id w:val="315612444"/>
        <w:docPartObj>
          <w:docPartGallery w:val="Table of Contents"/>
          <w:docPartUnique/>
        </w:docPartObj>
      </w:sdtPr>
      <w:sdtEndPr>
        <w:rPr>
          <w:b/>
          <w:bCs/>
        </w:rPr>
      </w:sdtEndPr>
      <w:sdtContent>
        <w:p w:rsidR="00330537" w:rsidRPr="00771D6F" w:rsidRDefault="00900C5E" w:rsidP="0045228A">
          <w:pPr>
            <w:pStyle w:val="TtuloTDC"/>
            <w:spacing w:after="240"/>
            <w:jc w:val="center"/>
            <w:rPr>
              <w:u w:val="single"/>
            </w:rPr>
          </w:pPr>
          <w:r>
            <w:rPr>
              <w:u w:val="single"/>
            </w:rPr>
            <w:t>Ejercicios</w:t>
          </w:r>
          <w:r w:rsidR="00771D6F" w:rsidRPr="00771D6F">
            <w:rPr>
              <w:u w:val="single"/>
            </w:rPr>
            <w:t xml:space="preserve"> </w:t>
          </w:r>
          <w:r w:rsidR="006F2CAE" w:rsidRPr="00771D6F">
            <w:rPr>
              <w:u w:val="single"/>
            </w:rPr>
            <w:t>bloque</w:t>
          </w:r>
          <w:r w:rsidR="00703F00">
            <w:rPr>
              <w:u w:val="single"/>
            </w:rPr>
            <w:t xml:space="preserve"> 1</w:t>
          </w:r>
        </w:p>
        <w:p w:rsidR="00774AAA" w:rsidRDefault="00330537">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511288878" w:history="1">
            <w:r w:rsidR="00774AAA" w:rsidRPr="00570586">
              <w:rPr>
                <w:rStyle w:val="Hipervnculo"/>
                <w:noProof/>
              </w:rPr>
              <w:t>1.</w:t>
            </w:r>
            <w:r w:rsidR="00774AAA">
              <w:rPr>
                <w:rFonts w:eastAsiaTheme="minorEastAsia"/>
                <w:noProof/>
                <w:lang w:eastAsia="es-ES"/>
              </w:rPr>
              <w:tab/>
            </w:r>
            <w:r w:rsidR="00774AAA" w:rsidRPr="00570586">
              <w:rPr>
                <w:rStyle w:val="Hipervnculo"/>
                <w:noProof/>
              </w:rPr>
              <w:t>Ejercicio 1. Elaborar un esquema personal del bloque manuscrito</w:t>
            </w:r>
            <w:r w:rsidR="00774AAA">
              <w:rPr>
                <w:noProof/>
                <w:webHidden/>
              </w:rPr>
              <w:tab/>
            </w:r>
            <w:r w:rsidR="00774AAA">
              <w:rPr>
                <w:noProof/>
                <w:webHidden/>
              </w:rPr>
              <w:fldChar w:fldCharType="begin"/>
            </w:r>
            <w:r w:rsidR="00774AAA">
              <w:rPr>
                <w:noProof/>
                <w:webHidden/>
              </w:rPr>
              <w:instrText xml:space="preserve"> PAGEREF _Toc511288878 \h </w:instrText>
            </w:r>
            <w:r w:rsidR="00774AAA">
              <w:rPr>
                <w:noProof/>
                <w:webHidden/>
              </w:rPr>
            </w:r>
            <w:r w:rsidR="00774AAA">
              <w:rPr>
                <w:noProof/>
                <w:webHidden/>
              </w:rPr>
              <w:fldChar w:fldCharType="separate"/>
            </w:r>
            <w:r w:rsidR="00774AAA">
              <w:rPr>
                <w:noProof/>
                <w:webHidden/>
              </w:rPr>
              <w:t>1</w:t>
            </w:r>
            <w:r w:rsidR="00774AAA">
              <w:rPr>
                <w:noProof/>
                <w:webHidden/>
              </w:rPr>
              <w:fldChar w:fldCharType="end"/>
            </w:r>
          </w:hyperlink>
        </w:p>
        <w:p w:rsidR="00774AAA" w:rsidRDefault="005B1199">
          <w:pPr>
            <w:pStyle w:val="TDC1"/>
            <w:tabs>
              <w:tab w:val="left" w:pos="440"/>
              <w:tab w:val="right" w:leader="dot" w:pos="8494"/>
            </w:tabs>
            <w:rPr>
              <w:rFonts w:eastAsiaTheme="minorEastAsia"/>
              <w:noProof/>
              <w:lang w:eastAsia="es-ES"/>
            </w:rPr>
          </w:pPr>
          <w:hyperlink w:anchor="_Toc511288879" w:history="1">
            <w:r w:rsidR="00774AAA" w:rsidRPr="00570586">
              <w:rPr>
                <w:rStyle w:val="Hipervnculo"/>
                <w:noProof/>
              </w:rPr>
              <w:t>2.</w:t>
            </w:r>
            <w:r w:rsidR="00774AAA">
              <w:rPr>
                <w:rFonts w:eastAsiaTheme="minorEastAsia"/>
                <w:noProof/>
                <w:lang w:eastAsia="es-ES"/>
              </w:rPr>
              <w:tab/>
            </w:r>
            <w:r w:rsidR="00774AAA" w:rsidRPr="00570586">
              <w:rPr>
                <w:rStyle w:val="Hipervnculo"/>
                <w:noProof/>
              </w:rPr>
              <w:t>Elabora una cronología de las fases y tiempos en el proceso de un perito judicial desde que recibe la primera notificación hasta la entrega del dictamen.</w:t>
            </w:r>
            <w:r w:rsidR="00774AAA">
              <w:rPr>
                <w:noProof/>
                <w:webHidden/>
              </w:rPr>
              <w:tab/>
            </w:r>
            <w:r w:rsidR="00774AAA">
              <w:rPr>
                <w:noProof/>
                <w:webHidden/>
              </w:rPr>
              <w:fldChar w:fldCharType="begin"/>
            </w:r>
            <w:r w:rsidR="00774AAA">
              <w:rPr>
                <w:noProof/>
                <w:webHidden/>
              </w:rPr>
              <w:instrText xml:space="preserve"> PAGEREF _Toc511288879 \h </w:instrText>
            </w:r>
            <w:r w:rsidR="00774AAA">
              <w:rPr>
                <w:noProof/>
                <w:webHidden/>
              </w:rPr>
            </w:r>
            <w:r w:rsidR="00774AAA">
              <w:rPr>
                <w:noProof/>
                <w:webHidden/>
              </w:rPr>
              <w:fldChar w:fldCharType="separate"/>
            </w:r>
            <w:r w:rsidR="00774AAA">
              <w:rPr>
                <w:noProof/>
                <w:webHidden/>
              </w:rPr>
              <w:t>1</w:t>
            </w:r>
            <w:r w:rsidR="00774AAA">
              <w:rPr>
                <w:noProof/>
                <w:webHidden/>
              </w:rPr>
              <w:fldChar w:fldCharType="end"/>
            </w:r>
          </w:hyperlink>
        </w:p>
        <w:p w:rsidR="00774AAA" w:rsidRDefault="005B1199">
          <w:pPr>
            <w:pStyle w:val="TDC1"/>
            <w:tabs>
              <w:tab w:val="left" w:pos="440"/>
              <w:tab w:val="right" w:leader="dot" w:pos="8494"/>
            </w:tabs>
            <w:rPr>
              <w:rFonts w:eastAsiaTheme="minorEastAsia"/>
              <w:noProof/>
              <w:lang w:eastAsia="es-ES"/>
            </w:rPr>
          </w:pPr>
          <w:hyperlink w:anchor="_Toc511288880" w:history="1">
            <w:r w:rsidR="00774AAA" w:rsidRPr="00570586">
              <w:rPr>
                <w:rStyle w:val="Hipervnculo"/>
                <w:noProof/>
              </w:rPr>
              <w:t>3.</w:t>
            </w:r>
            <w:r w:rsidR="00774AAA">
              <w:rPr>
                <w:rFonts w:eastAsiaTheme="minorEastAsia"/>
                <w:noProof/>
                <w:lang w:eastAsia="es-ES"/>
              </w:rPr>
              <w:tab/>
            </w:r>
            <w:r w:rsidR="00774AAA" w:rsidRPr="00570586">
              <w:rPr>
                <w:rStyle w:val="Hipervnculo"/>
                <w:noProof/>
              </w:rPr>
              <w:t>Test examen</w:t>
            </w:r>
            <w:r w:rsidR="00774AAA">
              <w:rPr>
                <w:noProof/>
                <w:webHidden/>
              </w:rPr>
              <w:tab/>
            </w:r>
            <w:r w:rsidR="00774AAA">
              <w:rPr>
                <w:noProof/>
                <w:webHidden/>
              </w:rPr>
              <w:fldChar w:fldCharType="begin"/>
            </w:r>
            <w:r w:rsidR="00774AAA">
              <w:rPr>
                <w:noProof/>
                <w:webHidden/>
              </w:rPr>
              <w:instrText xml:space="preserve"> PAGEREF _Toc511288880 \h </w:instrText>
            </w:r>
            <w:r w:rsidR="00774AAA">
              <w:rPr>
                <w:noProof/>
                <w:webHidden/>
              </w:rPr>
            </w:r>
            <w:r w:rsidR="00774AAA">
              <w:rPr>
                <w:noProof/>
                <w:webHidden/>
              </w:rPr>
              <w:fldChar w:fldCharType="separate"/>
            </w:r>
            <w:r w:rsidR="00774AAA">
              <w:rPr>
                <w:noProof/>
                <w:webHidden/>
              </w:rPr>
              <w:t>1</w:t>
            </w:r>
            <w:r w:rsidR="00774AAA">
              <w:rPr>
                <w:noProof/>
                <w:webHidden/>
              </w:rPr>
              <w:fldChar w:fldCharType="end"/>
            </w:r>
          </w:hyperlink>
        </w:p>
        <w:p w:rsidR="00330537" w:rsidRDefault="00330537">
          <w:r>
            <w:rPr>
              <w:b/>
              <w:bCs/>
            </w:rPr>
            <w:fldChar w:fldCharType="end"/>
          </w:r>
        </w:p>
      </w:sdtContent>
    </w:sdt>
    <w:p w:rsidR="00186F15" w:rsidRDefault="00186F15" w:rsidP="00D6795F">
      <w:pPr>
        <w:pStyle w:val="Ttulo1"/>
        <w:numPr>
          <w:ilvl w:val="0"/>
          <w:numId w:val="11"/>
        </w:numPr>
        <w:ind w:left="567" w:hanging="567"/>
        <w:sectPr w:rsidR="00186F15">
          <w:footerReference w:type="default" r:id="rId9"/>
          <w:pgSz w:w="11906" w:h="16838"/>
          <w:pgMar w:top="1417" w:right="1701" w:bottom="1417" w:left="1701" w:header="708" w:footer="708" w:gutter="0"/>
          <w:cols w:space="708"/>
          <w:docGrid w:linePitch="360"/>
        </w:sectPr>
      </w:pPr>
    </w:p>
    <w:p w:rsidR="00393248" w:rsidRDefault="00E47C9F" w:rsidP="00B83F89">
      <w:pPr>
        <w:pStyle w:val="Ttulo1"/>
        <w:numPr>
          <w:ilvl w:val="0"/>
          <w:numId w:val="11"/>
        </w:numPr>
        <w:ind w:left="567" w:hanging="567"/>
        <w:jc w:val="both"/>
      </w:pPr>
      <w:bookmarkStart w:id="0" w:name="_Toc511288878"/>
      <w:r>
        <w:lastRenderedPageBreak/>
        <w:t xml:space="preserve">Ejercicio 1. </w:t>
      </w:r>
      <w:r w:rsidR="00E63009">
        <w:t>Elaborar un esquema personal del bl</w:t>
      </w:r>
      <w:r w:rsidR="00445268">
        <w:t>oque manuscrito</w:t>
      </w:r>
      <w:bookmarkEnd w:id="0"/>
      <w:r w:rsidR="00E63009">
        <w:t xml:space="preserve"> </w:t>
      </w:r>
    </w:p>
    <w:p w:rsidR="00E1377A" w:rsidRDefault="002F2715" w:rsidP="00B83F89">
      <w:pPr>
        <w:spacing w:before="240"/>
        <w:ind w:firstLine="567"/>
        <w:jc w:val="both"/>
      </w:pPr>
      <w:r>
        <w:t>El alumno elaborará un esquema del bloque siguiendo sus propias ideas de forma que se haga una exposición del mismo para que el tutor pueda deducir que ha adquirido los conocimientos del tema.</w:t>
      </w:r>
    </w:p>
    <w:p w:rsidR="002F2715" w:rsidRDefault="002F2715" w:rsidP="00B83F89">
      <w:pPr>
        <w:spacing w:before="240"/>
        <w:ind w:firstLine="567"/>
        <w:jc w:val="both"/>
      </w:pPr>
      <w:r>
        <w:t>La idea de hacerlo manuscrito es para personalizar lo máximo posible el trabajo.</w:t>
      </w:r>
    </w:p>
    <w:p w:rsidR="002F2715" w:rsidRDefault="002F2715" w:rsidP="00B83F89">
      <w:pPr>
        <w:spacing w:before="240"/>
        <w:ind w:firstLine="567"/>
        <w:jc w:val="both"/>
      </w:pPr>
      <w:r>
        <w:t>Se elaborará con tinta azul y se podrán utilizar distintos colores según criterio del alumno.</w:t>
      </w:r>
    </w:p>
    <w:p w:rsidR="00774AAA" w:rsidRDefault="00774AAA" w:rsidP="00774AAA">
      <w:pPr>
        <w:pStyle w:val="Ttulo1"/>
        <w:numPr>
          <w:ilvl w:val="0"/>
          <w:numId w:val="11"/>
        </w:numPr>
        <w:ind w:left="567" w:hanging="567"/>
        <w:jc w:val="both"/>
      </w:pPr>
      <w:bookmarkStart w:id="1" w:name="_Toc511288879"/>
      <w:r>
        <w:t>Elabora una cronología de las fases y tiempos en el proceso de un perito judicial desde que recibe la primera notificación hasta la entrega del dictamen.</w:t>
      </w:r>
      <w:bookmarkEnd w:id="1"/>
    </w:p>
    <w:p w:rsidR="00774AAA" w:rsidRPr="00D6795F" w:rsidRDefault="00774AAA" w:rsidP="00B83F89">
      <w:pPr>
        <w:spacing w:before="240"/>
        <w:ind w:firstLine="567"/>
        <w:jc w:val="both"/>
      </w:pPr>
      <w:r>
        <w:t>El alumno elaborará un cronograma de fases y tiempos donde expondrá de forma particular como se desarrolla el proceso de intervención de un perito judicial en el juzgad a instancias del tribunal.</w:t>
      </w:r>
    </w:p>
    <w:p w:rsidR="00393248" w:rsidRDefault="006B31DA" w:rsidP="00B83F89">
      <w:pPr>
        <w:pStyle w:val="Ttulo1"/>
        <w:numPr>
          <w:ilvl w:val="0"/>
          <w:numId w:val="11"/>
        </w:numPr>
        <w:ind w:left="567" w:hanging="567"/>
        <w:jc w:val="both"/>
      </w:pPr>
      <w:bookmarkStart w:id="2" w:name="_Toc511288880"/>
      <w:r>
        <w:t xml:space="preserve">Test </w:t>
      </w:r>
      <w:r w:rsidR="00E47C9F">
        <w:t>examen</w:t>
      </w:r>
      <w:bookmarkEnd w:id="2"/>
    </w:p>
    <w:p w:rsidR="00E47C9F" w:rsidRPr="00E47C9F" w:rsidRDefault="00E47C9F" w:rsidP="00E47C9F">
      <w:pPr>
        <w:pStyle w:val="Prrafodelista"/>
        <w:spacing w:before="240"/>
        <w:ind w:left="284" w:firstLine="850"/>
        <w:contextualSpacing w:val="0"/>
        <w:jc w:val="both"/>
      </w:pPr>
      <w:r>
        <w:t>Responder a las siguientes 10 preguntas tipo test sabiendo que sólo una respuesta es la correcta.</w:t>
      </w:r>
    </w:p>
    <w:p w:rsidR="002F2715" w:rsidRPr="008C6E7B" w:rsidRDefault="00BA4C74" w:rsidP="002140A0">
      <w:pPr>
        <w:pStyle w:val="Prrafodelista"/>
        <w:numPr>
          <w:ilvl w:val="0"/>
          <w:numId w:val="23"/>
        </w:numPr>
        <w:spacing w:before="240"/>
        <w:ind w:left="714" w:hanging="357"/>
        <w:contextualSpacing w:val="0"/>
        <w:jc w:val="both"/>
        <w:rPr>
          <w:b/>
        </w:rPr>
      </w:pPr>
      <w:r w:rsidRPr="008C6E7B">
        <w:rPr>
          <w:b/>
        </w:rPr>
        <w:t>De los procedimientos que diferencia la Ley de Enjuiciamiento Civil…</w:t>
      </w:r>
    </w:p>
    <w:p w:rsidR="002F2715" w:rsidRDefault="00BA4C74" w:rsidP="00BA4C74">
      <w:pPr>
        <w:pStyle w:val="Prrafodelista"/>
        <w:numPr>
          <w:ilvl w:val="0"/>
          <w:numId w:val="24"/>
        </w:numPr>
        <w:spacing w:before="240"/>
        <w:contextualSpacing w:val="0"/>
        <w:jc w:val="both"/>
      </w:pPr>
      <w:r>
        <w:t>Los procedimientos declarativos p</w:t>
      </w:r>
      <w:r w:rsidRPr="00BA4C74">
        <w:t>retenden obtener del Órgano Judicial una resolución (auto o sentencia) creando modificando o ext</w:t>
      </w:r>
      <w:r>
        <w:t>inguiendo una relación jurídica, además de la ejecución de dicha sentencia.</w:t>
      </w:r>
    </w:p>
    <w:p w:rsidR="002140A0" w:rsidRDefault="00BA4C74" w:rsidP="00BA4C74">
      <w:pPr>
        <w:pStyle w:val="Prrafodelista"/>
        <w:numPr>
          <w:ilvl w:val="0"/>
          <w:numId w:val="24"/>
        </w:numPr>
        <w:spacing w:before="240"/>
        <w:contextualSpacing w:val="0"/>
        <w:jc w:val="both"/>
      </w:pPr>
      <w:r w:rsidRPr="00BA4C74">
        <w:t>Los procedimientos declarativos pretenden obtener del Órgano Judicial una resolución (auto o sentencia) creando modificando o extinguiendo una relación jurídica, además de la ejecución</w:t>
      </w:r>
      <w:r>
        <w:t xml:space="preserve"> parcial</w:t>
      </w:r>
      <w:r w:rsidRPr="00BA4C74">
        <w:t xml:space="preserve"> de dicha sentencia.</w:t>
      </w:r>
    </w:p>
    <w:p w:rsidR="002140A0" w:rsidRPr="00A21353" w:rsidRDefault="00BA4C74" w:rsidP="00BA4C74">
      <w:pPr>
        <w:pStyle w:val="Prrafodelista"/>
        <w:numPr>
          <w:ilvl w:val="0"/>
          <w:numId w:val="24"/>
        </w:numPr>
        <w:spacing w:before="240"/>
        <w:contextualSpacing w:val="0"/>
        <w:jc w:val="both"/>
      </w:pPr>
      <w:r w:rsidRPr="00A21353">
        <w:t>Los procedimientos declarativos pretenden obtener del Órgano Judicial una resolución (auto o sentencia) creando modificando o extinguiendo una relación jurídica, sin llegar a la ejecución de la misma.</w:t>
      </w:r>
    </w:p>
    <w:p w:rsidR="00476C00" w:rsidRPr="00A21353" w:rsidRDefault="00BA4C74" w:rsidP="00476C00">
      <w:pPr>
        <w:pStyle w:val="Prrafodelista"/>
        <w:numPr>
          <w:ilvl w:val="0"/>
          <w:numId w:val="24"/>
        </w:numPr>
        <w:spacing w:before="240"/>
        <w:contextualSpacing w:val="0"/>
        <w:jc w:val="both"/>
      </w:pPr>
      <w:r w:rsidRPr="00A21353">
        <w:t>Los procedimientos declarativos y los ejecutivos tienen la misma finalidad.</w:t>
      </w:r>
    </w:p>
    <w:p w:rsidR="00476C00" w:rsidRPr="00A21353" w:rsidRDefault="00E90432" w:rsidP="00E90432">
      <w:pPr>
        <w:pStyle w:val="Prrafodelista"/>
        <w:numPr>
          <w:ilvl w:val="0"/>
          <w:numId w:val="23"/>
        </w:numPr>
        <w:spacing w:before="240"/>
        <w:contextualSpacing w:val="0"/>
        <w:jc w:val="both"/>
        <w:rPr>
          <w:b/>
        </w:rPr>
      </w:pPr>
      <w:r w:rsidRPr="00A21353">
        <w:rPr>
          <w:b/>
        </w:rPr>
        <w:t>De los procedimientos que diferencia la Ley de Enjuiciamiento Civil…</w:t>
      </w:r>
    </w:p>
    <w:p w:rsidR="00E73CA8" w:rsidRPr="00A21353" w:rsidRDefault="00E90432" w:rsidP="003A2A17">
      <w:pPr>
        <w:pStyle w:val="Prrafodelista"/>
        <w:numPr>
          <w:ilvl w:val="0"/>
          <w:numId w:val="25"/>
        </w:numPr>
        <w:spacing w:before="240"/>
        <w:ind w:left="924" w:hanging="357"/>
        <w:contextualSpacing w:val="0"/>
        <w:jc w:val="both"/>
      </w:pPr>
      <w:r w:rsidRPr="00A21353">
        <w:t>Los procedimientos ejecutivos son procedimientos que van en paralelo con los procedimientos declarativos.</w:t>
      </w:r>
    </w:p>
    <w:p w:rsidR="003A2A17" w:rsidRPr="00A21353" w:rsidRDefault="00E90432" w:rsidP="003A2A17">
      <w:pPr>
        <w:pStyle w:val="Prrafodelista"/>
        <w:numPr>
          <w:ilvl w:val="0"/>
          <w:numId w:val="25"/>
        </w:numPr>
        <w:spacing w:before="240"/>
        <w:ind w:left="924" w:hanging="357"/>
        <w:contextualSpacing w:val="0"/>
        <w:jc w:val="both"/>
      </w:pPr>
      <w:r w:rsidRPr="00A21353">
        <w:t>Lo que pretende un procedimiento ejecutivo es que se lleve a efecto lo ordenado por una resolución judicial (auto o sentencia).</w:t>
      </w:r>
    </w:p>
    <w:p w:rsidR="003A2A17" w:rsidRPr="00A21353" w:rsidRDefault="00E152C7" w:rsidP="003A2A17">
      <w:pPr>
        <w:pStyle w:val="Prrafodelista"/>
        <w:numPr>
          <w:ilvl w:val="0"/>
          <w:numId w:val="25"/>
        </w:numPr>
        <w:spacing w:before="240"/>
        <w:ind w:left="924" w:hanging="357"/>
        <w:contextualSpacing w:val="0"/>
        <w:jc w:val="both"/>
      </w:pPr>
      <w:r w:rsidRPr="00A21353">
        <w:lastRenderedPageBreak/>
        <w:t>Verdaderamente, la LEC no diferencia estos procedimientos porque son correlativos.</w:t>
      </w:r>
    </w:p>
    <w:p w:rsidR="003A2A17" w:rsidRPr="00A21353" w:rsidRDefault="00E152C7" w:rsidP="003A2A17">
      <w:pPr>
        <w:pStyle w:val="Prrafodelista"/>
        <w:numPr>
          <w:ilvl w:val="0"/>
          <w:numId w:val="25"/>
        </w:numPr>
        <w:spacing w:before="240"/>
        <w:ind w:left="924" w:hanging="357"/>
        <w:contextualSpacing w:val="0"/>
        <w:jc w:val="both"/>
      </w:pPr>
      <w:r w:rsidRPr="00A21353">
        <w:t>Ninguna de las anteriores es correcta.</w:t>
      </w:r>
    </w:p>
    <w:p w:rsidR="003A2A17" w:rsidRPr="00A21353" w:rsidRDefault="00E152C7" w:rsidP="00C86516">
      <w:pPr>
        <w:pStyle w:val="Prrafodelista"/>
        <w:numPr>
          <w:ilvl w:val="0"/>
          <w:numId w:val="23"/>
        </w:numPr>
        <w:spacing w:before="240"/>
        <w:ind w:left="714" w:hanging="357"/>
        <w:contextualSpacing w:val="0"/>
        <w:jc w:val="both"/>
        <w:rPr>
          <w:b/>
        </w:rPr>
      </w:pPr>
      <w:r w:rsidRPr="00A21353">
        <w:rPr>
          <w:b/>
        </w:rPr>
        <w:t>Las diferentes fases de un juicio ordinario son las siguientes:</w:t>
      </w:r>
    </w:p>
    <w:p w:rsidR="00D87313" w:rsidRPr="00A21353" w:rsidRDefault="009B5608" w:rsidP="00C86516">
      <w:pPr>
        <w:pStyle w:val="Prrafodelista"/>
        <w:numPr>
          <w:ilvl w:val="0"/>
          <w:numId w:val="26"/>
        </w:numPr>
        <w:spacing w:before="240"/>
        <w:contextualSpacing w:val="0"/>
        <w:jc w:val="both"/>
      </w:pPr>
      <w:r w:rsidRPr="00A21353">
        <w:t>Demanda, Contestación a la demanda, Audiencia previa al juicio, Juicio, Sentencia y Diligencias finales.</w:t>
      </w:r>
    </w:p>
    <w:p w:rsidR="00C86516" w:rsidRPr="00A21353" w:rsidRDefault="009B5608" w:rsidP="009B5608">
      <w:pPr>
        <w:pStyle w:val="Prrafodelista"/>
        <w:numPr>
          <w:ilvl w:val="0"/>
          <w:numId w:val="26"/>
        </w:numPr>
        <w:spacing w:before="240"/>
        <w:contextualSpacing w:val="0"/>
        <w:jc w:val="both"/>
      </w:pPr>
      <w:r w:rsidRPr="00A21353">
        <w:t>Demanda, Contestación a la demanda, Audiencia previa al juicio, Juicio y Sentencia.</w:t>
      </w:r>
    </w:p>
    <w:p w:rsidR="00C86516" w:rsidRPr="00A21353" w:rsidRDefault="009B5608" w:rsidP="009B5608">
      <w:pPr>
        <w:pStyle w:val="Prrafodelista"/>
        <w:numPr>
          <w:ilvl w:val="0"/>
          <w:numId w:val="26"/>
        </w:numPr>
        <w:spacing w:before="240"/>
        <w:contextualSpacing w:val="0"/>
        <w:jc w:val="both"/>
      </w:pPr>
      <w:r w:rsidRPr="00A21353">
        <w:t>Demanda, Contestación a la demanda, Juicio y Sentencia.</w:t>
      </w:r>
    </w:p>
    <w:p w:rsidR="00C86516" w:rsidRPr="00A21353" w:rsidRDefault="009B5608" w:rsidP="009B5608">
      <w:pPr>
        <w:pStyle w:val="Prrafodelista"/>
        <w:numPr>
          <w:ilvl w:val="0"/>
          <w:numId w:val="26"/>
        </w:numPr>
        <w:spacing w:before="240"/>
        <w:contextualSpacing w:val="0"/>
        <w:jc w:val="both"/>
      </w:pPr>
      <w:r w:rsidRPr="00A21353">
        <w:t>Demanda, Audiencia previa al juicio, Juicio, Sentencia y Diligencias finales.</w:t>
      </w:r>
    </w:p>
    <w:p w:rsidR="00C86516" w:rsidRPr="00A21353" w:rsidRDefault="00667669" w:rsidP="00C86516">
      <w:pPr>
        <w:pStyle w:val="Prrafodelista"/>
        <w:numPr>
          <w:ilvl w:val="0"/>
          <w:numId w:val="23"/>
        </w:numPr>
        <w:spacing w:before="240"/>
        <w:ind w:left="714" w:hanging="357"/>
        <w:contextualSpacing w:val="0"/>
        <w:jc w:val="both"/>
        <w:rPr>
          <w:b/>
        </w:rPr>
      </w:pPr>
      <w:r w:rsidRPr="00A21353">
        <w:rPr>
          <w:b/>
        </w:rPr>
        <w:t>La reconvención es un supuesto que se lleva a cabo en la fase de contestación a la demanda en un juicio ordinario.</w:t>
      </w:r>
    </w:p>
    <w:p w:rsidR="00476EE2" w:rsidRPr="00A21353" w:rsidRDefault="00476EE2" w:rsidP="00476EE2">
      <w:pPr>
        <w:pStyle w:val="Prrafodelista"/>
        <w:numPr>
          <w:ilvl w:val="0"/>
          <w:numId w:val="27"/>
        </w:numPr>
        <w:spacing w:before="240"/>
        <w:contextualSpacing w:val="0"/>
        <w:jc w:val="both"/>
      </w:pPr>
      <w:bookmarkStart w:id="3" w:name="_GoBack"/>
      <w:bookmarkEnd w:id="3"/>
      <w:r w:rsidRPr="00A21353">
        <w:t>Verdadero.</w:t>
      </w:r>
    </w:p>
    <w:p w:rsidR="00476EE2" w:rsidRPr="00A21353" w:rsidRDefault="00476EE2" w:rsidP="00476EE2">
      <w:pPr>
        <w:pStyle w:val="Prrafodelista"/>
        <w:numPr>
          <w:ilvl w:val="0"/>
          <w:numId w:val="27"/>
        </w:numPr>
        <w:spacing w:before="240"/>
        <w:contextualSpacing w:val="0"/>
        <w:jc w:val="both"/>
      </w:pPr>
      <w:r w:rsidRPr="00A21353">
        <w:t>Falso.</w:t>
      </w:r>
    </w:p>
    <w:p w:rsidR="00476EE2" w:rsidRPr="00A21353" w:rsidRDefault="00960667" w:rsidP="00476EE2">
      <w:pPr>
        <w:pStyle w:val="Prrafodelista"/>
        <w:numPr>
          <w:ilvl w:val="0"/>
          <w:numId w:val="23"/>
        </w:numPr>
        <w:spacing w:before="240"/>
        <w:ind w:left="714" w:hanging="357"/>
        <w:contextualSpacing w:val="0"/>
        <w:jc w:val="both"/>
        <w:rPr>
          <w:b/>
        </w:rPr>
      </w:pPr>
      <w:r w:rsidRPr="00A21353">
        <w:rPr>
          <w:b/>
        </w:rPr>
        <w:t xml:space="preserve">Si un sujeto pretende que un juez suspenda una obra </w:t>
      </w:r>
      <w:r w:rsidR="002928F3" w:rsidRPr="00A21353">
        <w:rPr>
          <w:b/>
        </w:rPr>
        <w:t xml:space="preserve">nueva </w:t>
      </w:r>
      <w:r w:rsidRPr="00A21353">
        <w:rPr>
          <w:b/>
        </w:rPr>
        <w:t>que afecta a alguna propiedad suya, esto será objeto de:</w:t>
      </w:r>
    </w:p>
    <w:p w:rsidR="00844048" w:rsidRPr="00A21353" w:rsidRDefault="00960667" w:rsidP="00844048">
      <w:pPr>
        <w:pStyle w:val="Prrafodelista"/>
        <w:numPr>
          <w:ilvl w:val="0"/>
          <w:numId w:val="28"/>
        </w:numPr>
        <w:spacing w:before="240"/>
        <w:contextualSpacing w:val="0"/>
        <w:jc w:val="both"/>
      </w:pPr>
      <w:r w:rsidRPr="00A21353">
        <w:t>Un juicio ordinario.</w:t>
      </w:r>
    </w:p>
    <w:p w:rsidR="00844048" w:rsidRPr="00A21353" w:rsidRDefault="00960667" w:rsidP="00844048">
      <w:pPr>
        <w:pStyle w:val="Prrafodelista"/>
        <w:numPr>
          <w:ilvl w:val="0"/>
          <w:numId w:val="28"/>
        </w:numPr>
        <w:spacing w:before="240"/>
        <w:contextualSpacing w:val="0"/>
        <w:jc w:val="both"/>
      </w:pPr>
      <w:r w:rsidRPr="00A21353">
        <w:t>Un juicio verbal.</w:t>
      </w:r>
    </w:p>
    <w:p w:rsidR="00844048" w:rsidRPr="00A21353" w:rsidRDefault="00960667" w:rsidP="00844048">
      <w:pPr>
        <w:pStyle w:val="Prrafodelista"/>
        <w:numPr>
          <w:ilvl w:val="0"/>
          <w:numId w:val="28"/>
        </w:numPr>
        <w:spacing w:before="240"/>
        <w:contextualSpacing w:val="0"/>
        <w:jc w:val="both"/>
      </w:pPr>
      <w:r w:rsidRPr="00A21353">
        <w:t>No se celebran juicios por esta causa.</w:t>
      </w:r>
    </w:p>
    <w:p w:rsidR="00844048" w:rsidRPr="00A21353" w:rsidRDefault="00960667" w:rsidP="00844048">
      <w:pPr>
        <w:pStyle w:val="Prrafodelista"/>
        <w:numPr>
          <w:ilvl w:val="0"/>
          <w:numId w:val="28"/>
        </w:numPr>
        <w:spacing w:before="240"/>
        <w:contextualSpacing w:val="0"/>
        <w:jc w:val="both"/>
      </w:pPr>
      <w:r w:rsidRPr="00A21353">
        <w:t xml:space="preserve">Depende del criterio del </w:t>
      </w:r>
      <w:r w:rsidR="002928F3" w:rsidRPr="00A21353">
        <w:t xml:space="preserve">funcionario </w:t>
      </w:r>
      <w:r w:rsidRPr="00A21353">
        <w:t>que reciba la demanda en el juzgado.</w:t>
      </w:r>
    </w:p>
    <w:p w:rsidR="00844048" w:rsidRPr="00A21353" w:rsidRDefault="008B7D56" w:rsidP="00844048">
      <w:pPr>
        <w:pStyle w:val="Prrafodelista"/>
        <w:numPr>
          <w:ilvl w:val="0"/>
          <w:numId w:val="23"/>
        </w:numPr>
        <w:spacing w:before="240"/>
        <w:ind w:left="714" w:hanging="357"/>
        <w:contextualSpacing w:val="0"/>
        <w:jc w:val="both"/>
        <w:rPr>
          <w:b/>
        </w:rPr>
      </w:pPr>
      <w:r w:rsidRPr="00A21353">
        <w:rPr>
          <w:b/>
        </w:rPr>
        <w:t>Un perito siempre podrá aceptar o no aceptar el cargo de forma justificada, lo que no podrá nunca es abstenerse.</w:t>
      </w:r>
    </w:p>
    <w:p w:rsidR="00566CE7" w:rsidRPr="00A21353" w:rsidRDefault="00566CE7" w:rsidP="00566CE7">
      <w:pPr>
        <w:pStyle w:val="Prrafodelista"/>
        <w:numPr>
          <w:ilvl w:val="0"/>
          <w:numId w:val="29"/>
        </w:numPr>
        <w:spacing w:before="240"/>
        <w:contextualSpacing w:val="0"/>
        <w:jc w:val="both"/>
      </w:pPr>
      <w:r w:rsidRPr="00A21353">
        <w:t>Verdadero.</w:t>
      </w:r>
    </w:p>
    <w:p w:rsidR="00566CE7" w:rsidRPr="00A21353" w:rsidRDefault="00566CE7" w:rsidP="00566CE7">
      <w:pPr>
        <w:pStyle w:val="Prrafodelista"/>
        <w:numPr>
          <w:ilvl w:val="0"/>
          <w:numId w:val="29"/>
        </w:numPr>
        <w:spacing w:before="240"/>
        <w:contextualSpacing w:val="0"/>
        <w:jc w:val="both"/>
      </w:pPr>
      <w:r w:rsidRPr="00A21353">
        <w:t>Falso.</w:t>
      </w:r>
    </w:p>
    <w:p w:rsidR="00566CE7" w:rsidRPr="00A21353" w:rsidRDefault="002928F3" w:rsidP="008B7D56">
      <w:pPr>
        <w:pStyle w:val="Prrafodelista"/>
        <w:numPr>
          <w:ilvl w:val="0"/>
          <w:numId w:val="23"/>
        </w:numPr>
        <w:spacing w:before="240"/>
        <w:contextualSpacing w:val="0"/>
        <w:jc w:val="both"/>
        <w:rPr>
          <w:b/>
        </w:rPr>
      </w:pPr>
      <w:r w:rsidRPr="00A21353">
        <w:rPr>
          <w:b/>
        </w:rPr>
        <w:t xml:space="preserve">Elegir de entre las siguientes opciones, la definición </w:t>
      </w:r>
      <w:r w:rsidR="00A30462" w:rsidRPr="00A21353">
        <w:rPr>
          <w:b/>
        </w:rPr>
        <w:t xml:space="preserve">más completa </w:t>
      </w:r>
      <w:r w:rsidRPr="00A21353">
        <w:rPr>
          <w:b/>
        </w:rPr>
        <w:t>de perito.</w:t>
      </w:r>
    </w:p>
    <w:p w:rsidR="00651A9A" w:rsidRPr="00A21353" w:rsidRDefault="008B7D56" w:rsidP="00651A9A">
      <w:pPr>
        <w:pStyle w:val="Prrafodelista"/>
        <w:numPr>
          <w:ilvl w:val="0"/>
          <w:numId w:val="30"/>
        </w:numPr>
        <w:spacing w:before="240"/>
        <w:contextualSpacing w:val="0"/>
        <w:jc w:val="both"/>
      </w:pPr>
      <w:r w:rsidRPr="00A21353">
        <w:t>Sujeto especialista acreditado en determinadas disciplinas, cuyas conclusiones sirven al juez para dictar auto o sentencia, y cuya situación procesal permite el ejercicio de tal demarcación.</w:t>
      </w:r>
    </w:p>
    <w:p w:rsidR="00651A9A" w:rsidRPr="00A21353" w:rsidRDefault="008B7D56" w:rsidP="008B7D56">
      <w:pPr>
        <w:pStyle w:val="Prrafodelista"/>
        <w:numPr>
          <w:ilvl w:val="0"/>
          <w:numId w:val="30"/>
        </w:numPr>
        <w:spacing w:before="240"/>
        <w:contextualSpacing w:val="0"/>
        <w:jc w:val="both"/>
      </w:pPr>
      <w:r w:rsidRPr="00A21353">
        <w:t>Sujeto especialista acreditado en determinadas disciplinas, cuyas conclusiones sirven al juez para dictar auto o sentencia, y cuya situación procesal es indiferente a cualquier proceso.</w:t>
      </w:r>
    </w:p>
    <w:p w:rsidR="00651A9A" w:rsidRPr="00A21353" w:rsidRDefault="008B7D56" w:rsidP="00651A9A">
      <w:pPr>
        <w:pStyle w:val="Prrafodelista"/>
        <w:numPr>
          <w:ilvl w:val="0"/>
          <w:numId w:val="30"/>
        </w:numPr>
        <w:spacing w:before="240"/>
        <w:contextualSpacing w:val="0"/>
        <w:jc w:val="both"/>
      </w:pPr>
      <w:r w:rsidRPr="00A21353">
        <w:t>Persona de confianza de un juez que le ayuda en los procedimientos.</w:t>
      </w:r>
    </w:p>
    <w:p w:rsidR="00651A9A" w:rsidRPr="00A21353" w:rsidRDefault="008B7D56" w:rsidP="00651A9A">
      <w:pPr>
        <w:pStyle w:val="Prrafodelista"/>
        <w:numPr>
          <w:ilvl w:val="0"/>
          <w:numId w:val="30"/>
        </w:numPr>
        <w:spacing w:before="240"/>
        <w:contextualSpacing w:val="0"/>
        <w:jc w:val="both"/>
      </w:pPr>
      <w:r w:rsidRPr="00A21353">
        <w:lastRenderedPageBreak/>
        <w:t>Un perito puede ser cualquiera que sea entendido en una materia.</w:t>
      </w:r>
    </w:p>
    <w:p w:rsidR="00651A9A" w:rsidRPr="00A21353" w:rsidRDefault="00695FE1" w:rsidP="00651A9A">
      <w:pPr>
        <w:pStyle w:val="Prrafodelista"/>
        <w:numPr>
          <w:ilvl w:val="0"/>
          <w:numId w:val="23"/>
        </w:numPr>
        <w:spacing w:before="240"/>
        <w:ind w:left="714" w:hanging="357"/>
        <w:contextualSpacing w:val="0"/>
        <w:jc w:val="both"/>
        <w:rPr>
          <w:b/>
        </w:rPr>
      </w:pPr>
      <w:r w:rsidRPr="00A21353">
        <w:rPr>
          <w:b/>
        </w:rPr>
        <w:t>En la elaboración de un dictamen, un perito reproduce un dato erróneo en dicho informe. ¿Qué tipo de responsabilidad se le puede exigir al perito</w:t>
      </w:r>
      <w:r w:rsidR="00EC1878" w:rsidRPr="00A21353">
        <w:rPr>
          <w:b/>
        </w:rPr>
        <w:t xml:space="preserve"> en según qué contextos</w:t>
      </w:r>
      <w:r w:rsidRPr="00A21353">
        <w:rPr>
          <w:b/>
        </w:rPr>
        <w:t>?</w:t>
      </w:r>
    </w:p>
    <w:p w:rsidR="005E584F" w:rsidRPr="00A21353" w:rsidRDefault="00EC1878" w:rsidP="00676F33">
      <w:pPr>
        <w:pStyle w:val="Prrafodelista"/>
        <w:numPr>
          <w:ilvl w:val="0"/>
          <w:numId w:val="31"/>
        </w:numPr>
        <w:spacing w:before="240"/>
        <w:contextualSpacing w:val="0"/>
        <w:jc w:val="both"/>
      </w:pPr>
      <w:r w:rsidRPr="00A21353">
        <w:t>Al margen de la responsabilidad disciplinaria, responsabilidad civil ya que ha podido provocar menoscabo con ese informe.</w:t>
      </w:r>
    </w:p>
    <w:p w:rsidR="00676F33" w:rsidRPr="00A21353" w:rsidRDefault="00EC1878" w:rsidP="00676F33">
      <w:pPr>
        <w:pStyle w:val="Prrafodelista"/>
        <w:numPr>
          <w:ilvl w:val="0"/>
          <w:numId w:val="31"/>
        </w:numPr>
        <w:spacing w:before="240"/>
        <w:contextualSpacing w:val="0"/>
        <w:jc w:val="both"/>
      </w:pPr>
      <w:r w:rsidRPr="00A21353">
        <w:t>Al margen de la responsabilidad disciplinaria, responsabilidad civil y penal, ya que el error se ha producido de forma provocada por haber recibido dádiva para realizar esa acción.</w:t>
      </w:r>
    </w:p>
    <w:p w:rsidR="00676F33" w:rsidRPr="00A21353" w:rsidRDefault="00EC1878" w:rsidP="00676F33">
      <w:pPr>
        <w:pStyle w:val="Prrafodelista"/>
        <w:numPr>
          <w:ilvl w:val="0"/>
          <w:numId w:val="31"/>
        </w:numPr>
        <w:spacing w:before="240"/>
        <w:contextualSpacing w:val="0"/>
        <w:jc w:val="both"/>
      </w:pPr>
      <w:r w:rsidRPr="00A21353">
        <w:t xml:space="preserve">Ninguna, ya que en </w:t>
      </w:r>
      <w:r w:rsidR="000A2F53" w:rsidRPr="00A21353">
        <w:t>la reproducción del dato erróneo</w:t>
      </w:r>
      <w:r w:rsidRPr="00A21353">
        <w:t xml:space="preserve"> no hay ni intencionalidad, ni se ha producido menoscabo.</w:t>
      </w:r>
    </w:p>
    <w:p w:rsidR="00676F33" w:rsidRPr="00A21353" w:rsidRDefault="00EC1878" w:rsidP="00676F33">
      <w:pPr>
        <w:pStyle w:val="Prrafodelista"/>
        <w:numPr>
          <w:ilvl w:val="0"/>
          <w:numId w:val="31"/>
        </w:numPr>
        <w:spacing w:before="240"/>
        <w:contextualSpacing w:val="0"/>
        <w:jc w:val="both"/>
      </w:pPr>
      <w:r w:rsidRPr="00A21353">
        <w:t>Las respuestas a), b) y c) son posibles.</w:t>
      </w:r>
    </w:p>
    <w:p w:rsidR="00676F33" w:rsidRPr="00A21353" w:rsidRDefault="00C43785" w:rsidP="00676F33">
      <w:pPr>
        <w:pStyle w:val="Prrafodelista"/>
        <w:numPr>
          <w:ilvl w:val="0"/>
          <w:numId w:val="23"/>
        </w:numPr>
        <w:spacing w:before="240"/>
        <w:ind w:left="714" w:hanging="357"/>
        <w:contextualSpacing w:val="0"/>
        <w:jc w:val="both"/>
        <w:rPr>
          <w:b/>
        </w:rPr>
      </w:pPr>
      <w:r w:rsidRPr="00A21353">
        <w:rPr>
          <w:b/>
        </w:rPr>
        <w:t>Un perito recibe una notificación del juzgado en el que se le nombra perito por insaculación en un contencioso, y en el que se le requiere la aceptación del nombramiento. ¿Qué hace éste ante tal comunicación?</w:t>
      </w:r>
    </w:p>
    <w:p w:rsidR="00304A62" w:rsidRPr="00A21353" w:rsidRDefault="00D602F6" w:rsidP="00304A62">
      <w:pPr>
        <w:pStyle w:val="Prrafodelista"/>
        <w:numPr>
          <w:ilvl w:val="0"/>
          <w:numId w:val="32"/>
        </w:numPr>
        <w:spacing w:before="240"/>
        <w:contextualSpacing w:val="0"/>
        <w:jc w:val="both"/>
      </w:pPr>
      <w:r w:rsidRPr="00A21353">
        <w:t>Ignorarla, lo han nombrado perito en un juzgado muy lejano y no le interesa.</w:t>
      </w:r>
    </w:p>
    <w:p w:rsidR="00304A62" w:rsidRPr="00A21353" w:rsidRDefault="00D602F6" w:rsidP="00304A62">
      <w:pPr>
        <w:pStyle w:val="Prrafodelista"/>
        <w:numPr>
          <w:ilvl w:val="0"/>
          <w:numId w:val="32"/>
        </w:numPr>
        <w:spacing w:before="240"/>
        <w:contextualSpacing w:val="0"/>
        <w:jc w:val="both"/>
      </w:pPr>
      <w:r w:rsidRPr="00A21353">
        <w:t>Formaliza un escrito de aceptación del cargo solicitando la provisión de fondos correspondiente.</w:t>
      </w:r>
    </w:p>
    <w:p w:rsidR="00304A62" w:rsidRPr="00A21353" w:rsidRDefault="00D602F6" w:rsidP="00304A62">
      <w:pPr>
        <w:pStyle w:val="Prrafodelista"/>
        <w:numPr>
          <w:ilvl w:val="0"/>
          <w:numId w:val="32"/>
        </w:numPr>
        <w:spacing w:before="240"/>
        <w:contextualSpacing w:val="0"/>
        <w:jc w:val="both"/>
      </w:pPr>
      <w:r w:rsidRPr="00A21353">
        <w:t>Formaliza un escrito de abstención ya que resulta que su esposa es procuradora de la parte contraria.</w:t>
      </w:r>
    </w:p>
    <w:p w:rsidR="00304A62" w:rsidRPr="00A21353" w:rsidRDefault="00D602F6" w:rsidP="00304A62">
      <w:pPr>
        <w:pStyle w:val="Prrafodelista"/>
        <w:numPr>
          <w:ilvl w:val="0"/>
          <w:numId w:val="32"/>
        </w:numPr>
        <w:spacing w:before="240"/>
        <w:contextualSpacing w:val="0"/>
        <w:jc w:val="both"/>
      </w:pPr>
      <w:r w:rsidRPr="00A21353">
        <w:t>La b) y c) son correctas.</w:t>
      </w:r>
    </w:p>
    <w:p w:rsidR="00304A62" w:rsidRPr="00A21353" w:rsidRDefault="00BA499C" w:rsidP="00881735">
      <w:pPr>
        <w:pStyle w:val="Prrafodelista"/>
        <w:numPr>
          <w:ilvl w:val="0"/>
          <w:numId w:val="23"/>
        </w:numPr>
        <w:spacing w:before="240"/>
        <w:contextualSpacing w:val="0"/>
        <w:jc w:val="both"/>
        <w:rPr>
          <w:b/>
        </w:rPr>
      </w:pPr>
      <w:r w:rsidRPr="00A21353">
        <w:rPr>
          <w:b/>
        </w:rPr>
        <w:t>En cuanto a la presencia del perito en un juicio…</w:t>
      </w:r>
    </w:p>
    <w:p w:rsidR="00304A62" w:rsidRPr="00A21353" w:rsidRDefault="00BA499C" w:rsidP="00881735">
      <w:pPr>
        <w:pStyle w:val="Prrafodelista"/>
        <w:numPr>
          <w:ilvl w:val="0"/>
          <w:numId w:val="33"/>
        </w:numPr>
        <w:spacing w:before="240"/>
        <w:contextualSpacing w:val="0"/>
        <w:jc w:val="both"/>
      </w:pPr>
      <w:r w:rsidRPr="00A21353">
        <w:t>La presencia del perito es exigible por ley.</w:t>
      </w:r>
    </w:p>
    <w:p w:rsidR="00304A62" w:rsidRPr="00A21353" w:rsidRDefault="00BA499C" w:rsidP="00881735">
      <w:pPr>
        <w:pStyle w:val="Prrafodelista"/>
        <w:numPr>
          <w:ilvl w:val="0"/>
          <w:numId w:val="33"/>
        </w:numPr>
        <w:spacing w:before="240"/>
        <w:contextualSpacing w:val="0"/>
        <w:jc w:val="both"/>
      </w:pPr>
      <w:r w:rsidRPr="00A21353">
        <w:t>Al perito se le llamará a juicio a solicitud de alguna de las partes o a solicitud del tribunal.</w:t>
      </w:r>
    </w:p>
    <w:p w:rsidR="00304A62" w:rsidRPr="00A21353" w:rsidRDefault="00BA499C" w:rsidP="00881735">
      <w:pPr>
        <w:pStyle w:val="Prrafodelista"/>
        <w:numPr>
          <w:ilvl w:val="0"/>
          <w:numId w:val="33"/>
        </w:numPr>
        <w:spacing w:before="240"/>
        <w:contextualSpacing w:val="0"/>
        <w:jc w:val="both"/>
      </w:pPr>
      <w:r w:rsidRPr="00A21353">
        <w:t>El careo solo sirve para que los peritos de ambas partes discutan y lleguen a un acuerdo en la resolución de un único dictamen.</w:t>
      </w:r>
    </w:p>
    <w:p w:rsidR="00304A62" w:rsidRPr="00A21353" w:rsidRDefault="00BA499C" w:rsidP="00881735">
      <w:pPr>
        <w:pStyle w:val="Prrafodelista"/>
        <w:numPr>
          <w:ilvl w:val="0"/>
          <w:numId w:val="33"/>
        </w:numPr>
        <w:spacing w:before="240"/>
        <w:contextualSpacing w:val="0"/>
        <w:jc w:val="both"/>
      </w:pPr>
      <w:r w:rsidRPr="00A21353">
        <w:t>a), b) y c) son correctas.</w:t>
      </w:r>
    </w:p>
    <w:sectPr w:rsidR="00304A62" w:rsidRPr="00A21353" w:rsidSect="00186F15">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99" w:rsidRDefault="005B1199" w:rsidP="00186F15">
      <w:pPr>
        <w:spacing w:after="0" w:line="240" w:lineRule="auto"/>
      </w:pPr>
      <w:r>
        <w:separator/>
      </w:r>
    </w:p>
  </w:endnote>
  <w:endnote w:type="continuationSeparator" w:id="0">
    <w:p w:rsidR="005B1199" w:rsidRDefault="005B1199" w:rsidP="001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86371"/>
      <w:docPartObj>
        <w:docPartGallery w:val="Page Numbers (Bottom of Page)"/>
        <w:docPartUnique/>
      </w:docPartObj>
    </w:sdtPr>
    <w:sdtEndPr/>
    <w:sdtContent>
      <w:p w:rsidR="00186F15" w:rsidRDefault="00900C5E">
        <w:pPr>
          <w:pStyle w:val="Piedepgina"/>
          <w:jc w:val="right"/>
        </w:pPr>
        <w:r>
          <w:t>PORTADA</w:t>
        </w:r>
      </w:p>
    </w:sdtContent>
  </w:sdt>
  <w:p w:rsidR="00186F15" w:rsidRDefault="00186F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39919"/>
      <w:docPartObj>
        <w:docPartGallery w:val="Page Numbers (Bottom of Page)"/>
        <w:docPartUnique/>
      </w:docPartObj>
    </w:sdtPr>
    <w:sdtEndPr/>
    <w:sdtContent>
      <w:p w:rsidR="00900C5E" w:rsidRDefault="00900C5E">
        <w:pPr>
          <w:pStyle w:val="Piedepgina"/>
          <w:jc w:val="right"/>
        </w:pPr>
        <w:r>
          <w:t>ÍNDICE</w:t>
        </w:r>
      </w:p>
    </w:sdtContent>
  </w:sdt>
  <w:p w:rsidR="00900C5E" w:rsidRDefault="00900C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01884"/>
      <w:docPartObj>
        <w:docPartGallery w:val="Page Numbers (Bottom of Page)"/>
        <w:docPartUnique/>
      </w:docPartObj>
    </w:sdtPr>
    <w:sdtEndPr/>
    <w:sdtContent>
      <w:p w:rsidR="00186F15" w:rsidRDefault="00186F15">
        <w:pPr>
          <w:pStyle w:val="Piedepgina"/>
          <w:jc w:val="right"/>
        </w:pPr>
        <w:r>
          <w:fldChar w:fldCharType="begin"/>
        </w:r>
        <w:r>
          <w:instrText>PAGE   \* MERGEFORMAT</w:instrText>
        </w:r>
        <w:r>
          <w:fldChar w:fldCharType="separate"/>
        </w:r>
        <w:r w:rsidR="00A21353">
          <w:rPr>
            <w:noProof/>
          </w:rPr>
          <w:t>2</w:t>
        </w:r>
        <w:r>
          <w:fldChar w:fldCharType="end"/>
        </w:r>
      </w:p>
    </w:sdtContent>
  </w:sdt>
  <w:p w:rsidR="00186F15" w:rsidRDefault="00186F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99" w:rsidRDefault="005B1199" w:rsidP="00186F15">
      <w:pPr>
        <w:spacing w:after="0" w:line="240" w:lineRule="auto"/>
      </w:pPr>
      <w:r>
        <w:separator/>
      </w:r>
    </w:p>
  </w:footnote>
  <w:footnote w:type="continuationSeparator" w:id="0">
    <w:p w:rsidR="005B1199" w:rsidRDefault="005B1199" w:rsidP="0018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3A"/>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8F2256"/>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A1226B"/>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2BB43CF"/>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48E4150"/>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89F4786"/>
    <w:multiLevelType w:val="hybridMultilevel"/>
    <w:tmpl w:val="D458D622"/>
    <w:lvl w:ilvl="0" w:tplc="7ABAC5D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8A363D"/>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217C4ADC"/>
    <w:multiLevelType w:val="hybridMultilevel"/>
    <w:tmpl w:val="46187AB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23326427"/>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5335D9E"/>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6E302B5"/>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7A0703A"/>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302C39EB"/>
    <w:multiLevelType w:val="hybridMultilevel"/>
    <w:tmpl w:val="1706B90C"/>
    <w:lvl w:ilvl="0" w:tplc="0824982A">
      <w:start w:val="1"/>
      <w:numFmt w:val="decimal"/>
      <w:pStyle w:val="Ttulo2"/>
      <w:lvlText w:val="3.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724FC"/>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345B4681"/>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8083BDB"/>
    <w:multiLevelType w:val="multilevel"/>
    <w:tmpl w:val="DDA0D144"/>
    <w:lvl w:ilvl="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3CA96457"/>
    <w:multiLevelType w:val="hybridMultilevel"/>
    <w:tmpl w:val="726AB114"/>
    <w:lvl w:ilvl="0" w:tplc="869A33F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409C6FBC"/>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469761B3"/>
    <w:multiLevelType w:val="hybridMultilevel"/>
    <w:tmpl w:val="A1C8FA0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4DA31F38"/>
    <w:multiLevelType w:val="hybridMultilevel"/>
    <w:tmpl w:val="AD34584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4FBC13E9"/>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505D431B"/>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50657B56"/>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55707D7A"/>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5C9206FF"/>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6A50F75"/>
    <w:multiLevelType w:val="hybridMultilevel"/>
    <w:tmpl w:val="565EB35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6E3D675E"/>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21"/>
  </w:num>
  <w:num w:numId="3">
    <w:abstractNumId w:val="22"/>
  </w:num>
  <w:num w:numId="4">
    <w:abstractNumId w:val="3"/>
  </w:num>
  <w:num w:numId="5">
    <w:abstractNumId w:val="14"/>
  </w:num>
  <w:num w:numId="6">
    <w:abstractNumId w:val="9"/>
  </w:num>
  <w:num w:numId="7">
    <w:abstractNumId w:val="13"/>
  </w:num>
  <w:num w:numId="8">
    <w:abstractNumId w:val="20"/>
  </w:num>
  <w:num w:numId="9">
    <w:abstractNumId w:val="23"/>
  </w:num>
  <w:num w:numId="10">
    <w:abstractNumId w:val="5"/>
  </w:num>
  <w:num w:numId="11">
    <w:abstractNumId w:val="1"/>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9"/>
  </w:num>
  <w:num w:numId="20">
    <w:abstractNumId w:val="7"/>
  </w:num>
  <w:num w:numId="21">
    <w:abstractNumId w:val="18"/>
  </w:num>
  <w:num w:numId="22">
    <w:abstractNumId w:val="25"/>
  </w:num>
  <w:num w:numId="23">
    <w:abstractNumId w:val="0"/>
  </w:num>
  <w:num w:numId="24">
    <w:abstractNumId w:val="16"/>
  </w:num>
  <w:num w:numId="25">
    <w:abstractNumId w:val="24"/>
  </w:num>
  <w:num w:numId="26">
    <w:abstractNumId w:val="6"/>
  </w:num>
  <w:num w:numId="27">
    <w:abstractNumId w:val="17"/>
  </w:num>
  <w:num w:numId="28">
    <w:abstractNumId w:val="11"/>
  </w:num>
  <w:num w:numId="29">
    <w:abstractNumId w:val="4"/>
  </w:num>
  <w:num w:numId="30">
    <w:abstractNumId w:val="26"/>
  </w:num>
  <w:num w:numId="31">
    <w:abstractNumId w:val="8"/>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7E"/>
    <w:rsid w:val="00006947"/>
    <w:rsid w:val="00033723"/>
    <w:rsid w:val="00053CC0"/>
    <w:rsid w:val="000A2F53"/>
    <w:rsid w:val="000B0C7D"/>
    <w:rsid w:val="00100CDC"/>
    <w:rsid w:val="00143A93"/>
    <w:rsid w:val="0017368F"/>
    <w:rsid w:val="00186F15"/>
    <w:rsid w:val="001910C7"/>
    <w:rsid w:val="001B114A"/>
    <w:rsid w:val="00207533"/>
    <w:rsid w:val="002140A0"/>
    <w:rsid w:val="00271DBB"/>
    <w:rsid w:val="002900ED"/>
    <w:rsid w:val="002928F3"/>
    <w:rsid w:val="002B52B3"/>
    <w:rsid w:val="002C4BE8"/>
    <w:rsid w:val="002F2715"/>
    <w:rsid w:val="002F4F4A"/>
    <w:rsid w:val="002F73D9"/>
    <w:rsid w:val="00304A62"/>
    <w:rsid w:val="00330537"/>
    <w:rsid w:val="0036752D"/>
    <w:rsid w:val="00393248"/>
    <w:rsid w:val="003945B9"/>
    <w:rsid w:val="003A2A17"/>
    <w:rsid w:val="003B6035"/>
    <w:rsid w:val="003C6036"/>
    <w:rsid w:val="003F474C"/>
    <w:rsid w:val="00420611"/>
    <w:rsid w:val="00445268"/>
    <w:rsid w:val="00450F58"/>
    <w:rsid w:val="0045228A"/>
    <w:rsid w:val="00454911"/>
    <w:rsid w:val="00457739"/>
    <w:rsid w:val="00476C00"/>
    <w:rsid w:val="00476EE2"/>
    <w:rsid w:val="00482CA3"/>
    <w:rsid w:val="00486CB4"/>
    <w:rsid w:val="004C5D03"/>
    <w:rsid w:val="00526099"/>
    <w:rsid w:val="00566CE7"/>
    <w:rsid w:val="005A3585"/>
    <w:rsid w:val="005B1199"/>
    <w:rsid w:val="005C3374"/>
    <w:rsid w:val="005E584F"/>
    <w:rsid w:val="005F17C6"/>
    <w:rsid w:val="00611C01"/>
    <w:rsid w:val="00651A9A"/>
    <w:rsid w:val="00667669"/>
    <w:rsid w:val="00676F33"/>
    <w:rsid w:val="00685DBC"/>
    <w:rsid w:val="00695FE1"/>
    <w:rsid w:val="006B31DA"/>
    <w:rsid w:val="006D0C73"/>
    <w:rsid w:val="006F2CAE"/>
    <w:rsid w:val="00703F00"/>
    <w:rsid w:val="00715791"/>
    <w:rsid w:val="00731D6E"/>
    <w:rsid w:val="00771D6F"/>
    <w:rsid w:val="00774AAA"/>
    <w:rsid w:val="007823AE"/>
    <w:rsid w:val="008023E1"/>
    <w:rsid w:val="00813C2E"/>
    <w:rsid w:val="00822240"/>
    <w:rsid w:val="00824907"/>
    <w:rsid w:val="0084003E"/>
    <w:rsid w:val="00844048"/>
    <w:rsid w:val="008462C4"/>
    <w:rsid w:val="00881735"/>
    <w:rsid w:val="008B7D56"/>
    <w:rsid w:val="008C6E7B"/>
    <w:rsid w:val="008F1ED4"/>
    <w:rsid w:val="00900C5E"/>
    <w:rsid w:val="00901294"/>
    <w:rsid w:val="0091574D"/>
    <w:rsid w:val="009254C1"/>
    <w:rsid w:val="00933CCC"/>
    <w:rsid w:val="00960667"/>
    <w:rsid w:val="0099053F"/>
    <w:rsid w:val="009B5608"/>
    <w:rsid w:val="009D269A"/>
    <w:rsid w:val="009D44DB"/>
    <w:rsid w:val="009D5E2E"/>
    <w:rsid w:val="00A078DC"/>
    <w:rsid w:val="00A21353"/>
    <w:rsid w:val="00A30462"/>
    <w:rsid w:val="00AA7945"/>
    <w:rsid w:val="00AD0A04"/>
    <w:rsid w:val="00AD2288"/>
    <w:rsid w:val="00AD7E2F"/>
    <w:rsid w:val="00AF7247"/>
    <w:rsid w:val="00B104E3"/>
    <w:rsid w:val="00B20425"/>
    <w:rsid w:val="00B26640"/>
    <w:rsid w:val="00B35372"/>
    <w:rsid w:val="00B77EF3"/>
    <w:rsid w:val="00B80680"/>
    <w:rsid w:val="00B83F89"/>
    <w:rsid w:val="00B87501"/>
    <w:rsid w:val="00BA499C"/>
    <w:rsid w:val="00BA4C74"/>
    <w:rsid w:val="00BA6A90"/>
    <w:rsid w:val="00BD017E"/>
    <w:rsid w:val="00C43785"/>
    <w:rsid w:val="00C70F64"/>
    <w:rsid w:val="00C86516"/>
    <w:rsid w:val="00CB1A4E"/>
    <w:rsid w:val="00CC48AC"/>
    <w:rsid w:val="00CE017B"/>
    <w:rsid w:val="00CF16C8"/>
    <w:rsid w:val="00D06AF2"/>
    <w:rsid w:val="00D27AB9"/>
    <w:rsid w:val="00D306F5"/>
    <w:rsid w:val="00D342A1"/>
    <w:rsid w:val="00D602F6"/>
    <w:rsid w:val="00D6795F"/>
    <w:rsid w:val="00D725A3"/>
    <w:rsid w:val="00D87313"/>
    <w:rsid w:val="00DE3659"/>
    <w:rsid w:val="00E0344E"/>
    <w:rsid w:val="00E1377A"/>
    <w:rsid w:val="00E152C7"/>
    <w:rsid w:val="00E47C9F"/>
    <w:rsid w:val="00E63009"/>
    <w:rsid w:val="00E73CA8"/>
    <w:rsid w:val="00E90432"/>
    <w:rsid w:val="00EC116C"/>
    <w:rsid w:val="00EC1878"/>
    <w:rsid w:val="00EE2FB0"/>
    <w:rsid w:val="00EE5F4A"/>
    <w:rsid w:val="00F23ABE"/>
    <w:rsid w:val="00F72307"/>
    <w:rsid w:val="00F851F5"/>
    <w:rsid w:val="00F9285B"/>
    <w:rsid w:val="00F94822"/>
    <w:rsid w:val="00FA2BF7"/>
    <w:rsid w:val="00FC0F9E"/>
    <w:rsid w:val="00FD52EE"/>
    <w:rsid w:val="00FE1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D53EE-7B3B-4FE7-8CEC-E5B3BDB0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5E"/>
  </w:style>
  <w:style w:type="paragraph" w:styleId="Ttulo1">
    <w:name w:val="heading 1"/>
    <w:basedOn w:val="Normal"/>
    <w:next w:val="Normal"/>
    <w:link w:val="Ttulo1Car"/>
    <w:uiPriority w:val="9"/>
    <w:qFormat/>
    <w:rsid w:val="00D67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6795F"/>
    <w:pPr>
      <w:keepNext/>
      <w:keepLines/>
      <w:numPr>
        <w:numId w:val="12"/>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248"/>
    <w:pPr>
      <w:ind w:left="720"/>
      <w:contextualSpacing/>
    </w:pPr>
  </w:style>
  <w:style w:type="character" w:customStyle="1" w:styleId="Ttulo1Car">
    <w:name w:val="Título 1 Car"/>
    <w:basedOn w:val="Fuentedeprrafopredeter"/>
    <w:link w:val="Ttulo1"/>
    <w:uiPriority w:val="9"/>
    <w:rsid w:val="00D679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6795F"/>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30537"/>
    <w:pPr>
      <w:outlineLvl w:val="9"/>
    </w:pPr>
    <w:rPr>
      <w:lang w:eastAsia="es-ES"/>
    </w:rPr>
  </w:style>
  <w:style w:type="paragraph" w:styleId="ndice1">
    <w:name w:val="index 1"/>
    <w:basedOn w:val="Normal"/>
    <w:next w:val="Normal"/>
    <w:autoRedefine/>
    <w:uiPriority w:val="99"/>
    <w:semiHidden/>
    <w:unhideWhenUsed/>
    <w:rsid w:val="00330537"/>
    <w:pPr>
      <w:spacing w:after="0" w:line="240" w:lineRule="auto"/>
      <w:ind w:left="220" w:hanging="220"/>
    </w:pPr>
  </w:style>
  <w:style w:type="paragraph" w:styleId="TDC1">
    <w:name w:val="toc 1"/>
    <w:basedOn w:val="Normal"/>
    <w:next w:val="Normal"/>
    <w:autoRedefine/>
    <w:uiPriority w:val="39"/>
    <w:unhideWhenUsed/>
    <w:rsid w:val="00330537"/>
    <w:pPr>
      <w:spacing w:after="100"/>
    </w:pPr>
  </w:style>
  <w:style w:type="paragraph" w:styleId="TDC2">
    <w:name w:val="toc 2"/>
    <w:basedOn w:val="Normal"/>
    <w:next w:val="Normal"/>
    <w:autoRedefine/>
    <w:uiPriority w:val="39"/>
    <w:unhideWhenUsed/>
    <w:rsid w:val="00330537"/>
    <w:pPr>
      <w:spacing w:after="100"/>
      <w:ind w:left="220"/>
    </w:pPr>
  </w:style>
  <w:style w:type="character" w:styleId="Hipervnculo">
    <w:name w:val="Hyperlink"/>
    <w:basedOn w:val="Fuentedeprrafopredeter"/>
    <w:uiPriority w:val="99"/>
    <w:unhideWhenUsed/>
    <w:rsid w:val="00330537"/>
    <w:rPr>
      <w:color w:val="0563C1" w:themeColor="hyperlink"/>
      <w:u w:val="single"/>
    </w:rPr>
  </w:style>
  <w:style w:type="paragraph" w:styleId="Encabezado">
    <w:name w:val="header"/>
    <w:basedOn w:val="Normal"/>
    <w:link w:val="EncabezadoCar"/>
    <w:uiPriority w:val="99"/>
    <w:unhideWhenUsed/>
    <w:rsid w:val="00186F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6F15"/>
  </w:style>
  <w:style w:type="paragraph" w:styleId="Piedepgina">
    <w:name w:val="footer"/>
    <w:basedOn w:val="Normal"/>
    <w:link w:val="PiedepginaCar"/>
    <w:uiPriority w:val="99"/>
    <w:unhideWhenUsed/>
    <w:rsid w:val="00186F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48CA-6584-435C-8D5A-55A8852E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2018-06-21T21:22:00Z</dcterms:created>
  <dcterms:modified xsi:type="dcterms:W3CDTF">2018-06-21T21:23:00Z</dcterms:modified>
</cp:coreProperties>
</file>