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C5E" w:rsidRPr="006F2CAE" w:rsidRDefault="00900C5E" w:rsidP="00900C5E">
      <w:pPr>
        <w:ind w:left="1276" w:hanging="1276"/>
        <w:jc w:val="both"/>
        <w:rPr>
          <w:sz w:val="28"/>
          <w:szCs w:val="28"/>
        </w:rPr>
      </w:pPr>
      <w:r w:rsidRPr="006F2CAE">
        <w:rPr>
          <w:sz w:val="28"/>
          <w:szCs w:val="28"/>
          <w:u w:val="single"/>
        </w:rPr>
        <w:t>CURSO</w:t>
      </w:r>
      <w:r w:rsidRPr="006F2CAE">
        <w:rPr>
          <w:sz w:val="28"/>
          <w:szCs w:val="28"/>
        </w:rPr>
        <w:t>: PERITO JUDICIAL EN VALORACIONES Y TASACIONES INMOBILIARIAS.</w:t>
      </w:r>
    </w:p>
    <w:p w:rsidR="00900C5E" w:rsidRDefault="00900C5E" w:rsidP="00900C5E">
      <w:pPr>
        <w:tabs>
          <w:tab w:val="left" w:pos="4979"/>
        </w:tabs>
        <w:ind w:left="2268" w:hanging="2268"/>
        <w:jc w:val="both"/>
        <w:rPr>
          <w:sz w:val="28"/>
          <w:szCs w:val="28"/>
          <w:u w:val="single"/>
        </w:rPr>
      </w:pPr>
      <w:r w:rsidRPr="006F2CAE">
        <w:rPr>
          <w:sz w:val="28"/>
          <w:szCs w:val="28"/>
          <w:u w:val="single"/>
        </w:rPr>
        <w:t>IMPARTIDO POR</w:t>
      </w:r>
      <w:r w:rsidRPr="006F2CAE">
        <w:rPr>
          <w:sz w:val="28"/>
          <w:szCs w:val="28"/>
        </w:rPr>
        <w:t>: CENTRO FORMATIVO DE LA ASOCIACIÓN JUDICIAL NACIONAL DE PERITOS.</w:t>
      </w:r>
    </w:p>
    <w:p w:rsidR="00900C5E" w:rsidRDefault="00237C19" w:rsidP="00053CC0">
      <w:pPr>
        <w:tabs>
          <w:tab w:val="left" w:pos="4979"/>
        </w:tabs>
        <w:spacing w:before="10000"/>
        <w:jc w:val="right"/>
        <w:rPr>
          <w:sz w:val="28"/>
          <w:szCs w:val="28"/>
        </w:rPr>
      </w:pPr>
      <w:r>
        <w:rPr>
          <w:sz w:val="28"/>
          <w:szCs w:val="28"/>
          <w:u w:val="single"/>
        </w:rPr>
        <w:t>EJERCICIOS DEL BLOQUE 2</w:t>
      </w:r>
      <w:r w:rsidR="00900C5E" w:rsidRPr="00900C5E">
        <w:rPr>
          <w:sz w:val="28"/>
          <w:szCs w:val="28"/>
        </w:rPr>
        <w:t xml:space="preserve">: </w:t>
      </w:r>
      <w:r>
        <w:rPr>
          <w:sz w:val="28"/>
          <w:szCs w:val="28"/>
        </w:rPr>
        <w:t>DERECHOS REALES</w:t>
      </w:r>
      <w:r w:rsidR="00824907" w:rsidRPr="00824907">
        <w:rPr>
          <w:sz w:val="28"/>
          <w:szCs w:val="28"/>
        </w:rPr>
        <w:t>.</w:t>
      </w:r>
    </w:p>
    <w:p w:rsidR="00900C5E" w:rsidRPr="00900C5E" w:rsidRDefault="00900C5E" w:rsidP="00900C5E">
      <w:pPr>
        <w:tabs>
          <w:tab w:val="left" w:pos="4979"/>
        </w:tabs>
        <w:rPr>
          <w:sz w:val="28"/>
          <w:szCs w:val="28"/>
        </w:rPr>
        <w:sectPr w:rsidR="00900C5E" w:rsidRPr="00900C5E">
          <w:footerReference w:type="default" r:id="rId8"/>
          <w:pgSz w:w="11906" w:h="16838"/>
          <w:pgMar w:top="1417" w:right="1701" w:bottom="1417" w:left="1701" w:header="708" w:footer="708" w:gutter="0"/>
          <w:cols w:space="708"/>
          <w:docGrid w:linePitch="360"/>
        </w:sectPr>
      </w:pPr>
      <w:r>
        <w:rPr>
          <w:sz w:val="28"/>
          <w:szCs w:val="28"/>
        </w:rPr>
        <w:tab/>
      </w:r>
    </w:p>
    <w:p w:rsidR="00393248" w:rsidRPr="006F2CAE" w:rsidRDefault="00393248" w:rsidP="006F2CAE">
      <w:pPr>
        <w:jc w:val="center"/>
        <w:rPr>
          <w:sz w:val="28"/>
          <w:szCs w:val="28"/>
        </w:rPr>
      </w:pPr>
    </w:p>
    <w:sdt>
      <w:sdtPr>
        <w:rPr>
          <w:rFonts w:asciiTheme="minorHAnsi" w:eastAsiaTheme="minorHAnsi" w:hAnsiTheme="minorHAnsi" w:cstheme="minorBidi"/>
          <w:color w:val="auto"/>
          <w:sz w:val="22"/>
          <w:szCs w:val="22"/>
          <w:lang w:eastAsia="en-US"/>
        </w:rPr>
        <w:id w:val="315612444"/>
        <w:docPartObj>
          <w:docPartGallery w:val="Table of Contents"/>
          <w:docPartUnique/>
        </w:docPartObj>
      </w:sdtPr>
      <w:sdtEndPr>
        <w:rPr>
          <w:b/>
          <w:bCs/>
        </w:rPr>
      </w:sdtEndPr>
      <w:sdtContent>
        <w:p w:rsidR="00330537" w:rsidRPr="00771D6F" w:rsidRDefault="00900C5E" w:rsidP="0045228A">
          <w:pPr>
            <w:pStyle w:val="TtuloTDC"/>
            <w:spacing w:after="240"/>
            <w:jc w:val="center"/>
            <w:rPr>
              <w:u w:val="single"/>
            </w:rPr>
          </w:pPr>
          <w:r>
            <w:rPr>
              <w:u w:val="single"/>
            </w:rPr>
            <w:t>Ejercicios</w:t>
          </w:r>
          <w:r w:rsidR="00771D6F" w:rsidRPr="00771D6F">
            <w:rPr>
              <w:u w:val="single"/>
            </w:rPr>
            <w:t xml:space="preserve"> </w:t>
          </w:r>
          <w:r w:rsidR="006F2CAE" w:rsidRPr="00771D6F">
            <w:rPr>
              <w:u w:val="single"/>
            </w:rPr>
            <w:t>bloque</w:t>
          </w:r>
          <w:r w:rsidR="00237C19">
            <w:rPr>
              <w:u w:val="single"/>
            </w:rPr>
            <w:t xml:space="preserve"> 2</w:t>
          </w:r>
        </w:p>
        <w:p w:rsidR="00884C89" w:rsidRDefault="00330537">
          <w:pPr>
            <w:pStyle w:val="TDC1"/>
            <w:tabs>
              <w:tab w:val="left" w:pos="440"/>
              <w:tab w:val="right" w:leader="dot" w:pos="8494"/>
            </w:tabs>
            <w:rPr>
              <w:rFonts w:eastAsiaTheme="minorEastAsia"/>
              <w:noProof/>
              <w:lang w:eastAsia="es-ES"/>
            </w:rPr>
          </w:pPr>
          <w:r>
            <w:fldChar w:fldCharType="begin"/>
          </w:r>
          <w:r>
            <w:instrText xml:space="preserve"> TOC \o "1-3" \h \z \u </w:instrText>
          </w:r>
          <w:r>
            <w:fldChar w:fldCharType="separate"/>
          </w:r>
          <w:hyperlink w:anchor="_Toc511290574" w:history="1">
            <w:r w:rsidR="00884C89" w:rsidRPr="00244B08">
              <w:rPr>
                <w:rStyle w:val="Hipervnculo"/>
                <w:noProof/>
              </w:rPr>
              <w:t>1.</w:t>
            </w:r>
            <w:r w:rsidR="00884C89">
              <w:rPr>
                <w:rFonts w:eastAsiaTheme="minorEastAsia"/>
                <w:noProof/>
                <w:lang w:eastAsia="es-ES"/>
              </w:rPr>
              <w:tab/>
            </w:r>
            <w:r w:rsidR="00884C89" w:rsidRPr="00244B08">
              <w:rPr>
                <w:rStyle w:val="Hipervnculo"/>
                <w:noProof/>
              </w:rPr>
              <w:t>Ejercicio 1. Elaborar un esquema personal del bloque manuscrito</w:t>
            </w:r>
            <w:r w:rsidR="00884C89">
              <w:rPr>
                <w:noProof/>
                <w:webHidden/>
              </w:rPr>
              <w:tab/>
            </w:r>
            <w:r w:rsidR="00884C89">
              <w:rPr>
                <w:noProof/>
                <w:webHidden/>
              </w:rPr>
              <w:fldChar w:fldCharType="begin"/>
            </w:r>
            <w:r w:rsidR="00884C89">
              <w:rPr>
                <w:noProof/>
                <w:webHidden/>
              </w:rPr>
              <w:instrText xml:space="preserve"> PAGEREF _Toc511290574 \h </w:instrText>
            </w:r>
            <w:r w:rsidR="00884C89">
              <w:rPr>
                <w:noProof/>
                <w:webHidden/>
              </w:rPr>
            </w:r>
            <w:r w:rsidR="00884C89">
              <w:rPr>
                <w:noProof/>
                <w:webHidden/>
              </w:rPr>
              <w:fldChar w:fldCharType="separate"/>
            </w:r>
            <w:r w:rsidR="00884C89">
              <w:rPr>
                <w:noProof/>
                <w:webHidden/>
              </w:rPr>
              <w:t>1</w:t>
            </w:r>
            <w:r w:rsidR="00884C89">
              <w:rPr>
                <w:noProof/>
                <w:webHidden/>
              </w:rPr>
              <w:fldChar w:fldCharType="end"/>
            </w:r>
          </w:hyperlink>
        </w:p>
        <w:p w:rsidR="00884C89" w:rsidRDefault="002D7F29">
          <w:pPr>
            <w:pStyle w:val="TDC1"/>
            <w:tabs>
              <w:tab w:val="left" w:pos="440"/>
              <w:tab w:val="right" w:leader="dot" w:pos="8494"/>
            </w:tabs>
            <w:rPr>
              <w:rFonts w:eastAsiaTheme="minorEastAsia"/>
              <w:noProof/>
              <w:lang w:eastAsia="es-ES"/>
            </w:rPr>
          </w:pPr>
          <w:hyperlink w:anchor="_Toc511290575" w:history="1">
            <w:r w:rsidR="00884C89" w:rsidRPr="00244B08">
              <w:rPr>
                <w:rStyle w:val="Hipervnculo"/>
                <w:noProof/>
              </w:rPr>
              <w:t>2.</w:t>
            </w:r>
            <w:r w:rsidR="00884C89">
              <w:rPr>
                <w:rFonts w:eastAsiaTheme="minorEastAsia"/>
                <w:noProof/>
                <w:lang w:eastAsia="es-ES"/>
              </w:rPr>
              <w:tab/>
            </w:r>
            <w:r w:rsidR="00884C89" w:rsidRPr="00244B08">
              <w:rPr>
                <w:rStyle w:val="Hipervnculo"/>
                <w:noProof/>
              </w:rPr>
              <w:t>Ejercicio 2. Definición y diferencias entre procesos declarativos y procesos ejecutivos.</w:t>
            </w:r>
            <w:r w:rsidR="00884C89">
              <w:rPr>
                <w:noProof/>
                <w:webHidden/>
              </w:rPr>
              <w:tab/>
            </w:r>
            <w:r w:rsidR="00884C89">
              <w:rPr>
                <w:noProof/>
                <w:webHidden/>
              </w:rPr>
              <w:fldChar w:fldCharType="begin"/>
            </w:r>
            <w:r w:rsidR="00884C89">
              <w:rPr>
                <w:noProof/>
                <w:webHidden/>
              </w:rPr>
              <w:instrText xml:space="preserve"> PAGEREF _Toc511290575 \h </w:instrText>
            </w:r>
            <w:r w:rsidR="00884C89">
              <w:rPr>
                <w:noProof/>
                <w:webHidden/>
              </w:rPr>
            </w:r>
            <w:r w:rsidR="00884C89">
              <w:rPr>
                <w:noProof/>
                <w:webHidden/>
              </w:rPr>
              <w:fldChar w:fldCharType="separate"/>
            </w:r>
            <w:r w:rsidR="00884C89">
              <w:rPr>
                <w:noProof/>
                <w:webHidden/>
              </w:rPr>
              <w:t>1</w:t>
            </w:r>
            <w:r w:rsidR="00884C89">
              <w:rPr>
                <w:noProof/>
                <w:webHidden/>
              </w:rPr>
              <w:fldChar w:fldCharType="end"/>
            </w:r>
          </w:hyperlink>
        </w:p>
        <w:p w:rsidR="00884C89" w:rsidRDefault="002D7F29">
          <w:pPr>
            <w:pStyle w:val="TDC1"/>
            <w:tabs>
              <w:tab w:val="left" w:pos="440"/>
              <w:tab w:val="right" w:leader="dot" w:pos="8494"/>
            </w:tabs>
            <w:rPr>
              <w:rFonts w:eastAsiaTheme="minorEastAsia"/>
              <w:noProof/>
              <w:lang w:eastAsia="es-ES"/>
            </w:rPr>
          </w:pPr>
          <w:hyperlink w:anchor="_Toc511290576" w:history="1">
            <w:r w:rsidR="00884C89" w:rsidRPr="00244B08">
              <w:rPr>
                <w:rStyle w:val="Hipervnculo"/>
                <w:noProof/>
              </w:rPr>
              <w:t>3.</w:t>
            </w:r>
            <w:r w:rsidR="00884C89">
              <w:rPr>
                <w:rFonts w:eastAsiaTheme="minorEastAsia"/>
                <w:noProof/>
                <w:lang w:eastAsia="es-ES"/>
              </w:rPr>
              <w:tab/>
            </w:r>
            <w:r w:rsidR="00884C89" w:rsidRPr="00244B08">
              <w:rPr>
                <w:rStyle w:val="Hipervnculo"/>
                <w:noProof/>
              </w:rPr>
              <w:t>Ejercicio 3. Definición de usucapión.</w:t>
            </w:r>
            <w:r w:rsidR="00884C89">
              <w:rPr>
                <w:noProof/>
                <w:webHidden/>
              </w:rPr>
              <w:tab/>
            </w:r>
            <w:r w:rsidR="00884C89">
              <w:rPr>
                <w:noProof/>
                <w:webHidden/>
              </w:rPr>
              <w:fldChar w:fldCharType="begin"/>
            </w:r>
            <w:r w:rsidR="00884C89">
              <w:rPr>
                <w:noProof/>
                <w:webHidden/>
              </w:rPr>
              <w:instrText xml:space="preserve"> PAGEREF _Toc511290576 \h </w:instrText>
            </w:r>
            <w:r w:rsidR="00884C89">
              <w:rPr>
                <w:noProof/>
                <w:webHidden/>
              </w:rPr>
            </w:r>
            <w:r w:rsidR="00884C89">
              <w:rPr>
                <w:noProof/>
                <w:webHidden/>
              </w:rPr>
              <w:fldChar w:fldCharType="separate"/>
            </w:r>
            <w:r w:rsidR="00884C89">
              <w:rPr>
                <w:noProof/>
                <w:webHidden/>
              </w:rPr>
              <w:t>1</w:t>
            </w:r>
            <w:r w:rsidR="00884C89">
              <w:rPr>
                <w:noProof/>
                <w:webHidden/>
              </w:rPr>
              <w:fldChar w:fldCharType="end"/>
            </w:r>
          </w:hyperlink>
        </w:p>
        <w:p w:rsidR="00884C89" w:rsidRDefault="002D7F29">
          <w:pPr>
            <w:pStyle w:val="TDC1"/>
            <w:tabs>
              <w:tab w:val="left" w:pos="440"/>
              <w:tab w:val="right" w:leader="dot" w:pos="8494"/>
            </w:tabs>
            <w:rPr>
              <w:rFonts w:eastAsiaTheme="minorEastAsia"/>
              <w:noProof/>
              <w:lang w:eastAsia="es-ES"/>
            </w:rPr>
          </w:pPr>
          <w:hyperlink w:anchor="_Toc511290577" w:history="1">
            <w:r w:rsidR="00884C89" w:rsidRPr="00244B08">
              <w:rPr>
                <w:rStyle w:val="Hipervnculo"/>
                <w:noProof/>
              </w:rPr>
              <w:t>4.</w:t>
            </w:r>
            <w:r w:rsidR="00884C89">
              <w:rPr>
                <w:rFonts w:eastAsiaTheme="minorEastAsia"/>
                <w:noProof/>
                <w:lang w:eastAsia="es-ES"/>
              </w:rPr>
              <w:tab/>
            </w:r>
            <w:r w:rsidR="00884C89" w:rsidRPr="00244B08">
              <w:rPr>
                <w:rStyle w:val="Hipervnculo"/>
                <w:noProof/>
              </w:rPr>
              <w:t>Test examen</w:t>
            </w:r>
            <w:r w:rsidR="00884C89">
              <w:rPr>
                <w:noProof/>
                <w:webHidden/>
              </w:rPr>
              <w:tab/>
            </w:r>
            <w:r w:rsidR="00884C89">
              <w:rPr>
                <w:noProof/>
                <w:webHidden/>
              </w:rPr>
              <w:fldChar w:fldCharType="begin"/>
            </w:r>
            <w:r w:rsidR="00884C89">
              <w:rPr>
                <w:noProof/>
                <w:webHidden/>
              </w:rPr>
              <w:instrText xml:space="preserve"> PAGEREF _Toc511290577 \h </w:instrText>
            </w:r>
            <w:r w:rsidR="00884C89">
              <w:rPr>
                <w:noProof/>
                <w:webHidden/>
              </w:rPr>
            </w:r>
            <w:r w:rsidR="00884C89">
              <w:rPr>
                <w:noProof/>
                <w:webHidden/>
              </w:rPr>
              <w:fldChar w:fldCharType="separate"/>
            </w:r>
            <w:r w:rsidR="00884C89">
              <w:rPr>
                <w:noProof/>
                <w:webHidden/>
              </w:rPr>
              <w:t>1</w:t>
            </w:r>
            <w:r w:rsidR="00884C89">
              <w:rPr>
                <w:noProof/>
                <w:webHidden/>
              </w:rPr>
              <w:fldChar w:fldCharType="end"/>
            </w:r>
          </w:hyperlink>
        </w:p>
        <w:p w:rsidR="00330537" w:rsidRDefault="00330537">
          <w:r>
            <w:rPr>
              <w:b/>
              <w:bCs/>
            </w:rPr>
            <w:fldChar w:fldCharType="end"/>
          </w:r>
        </w:p>
      </w:sdtContent>
    </w:sdt>
    <w:p w:rsidR="00186F15" w:rsidRDefault="00186F15" w:rsidP="00D6795F">
      <w:pPr>
        <w:pStyle w:val="Ttulo1"/>
        <w:numPr>
          <w:ilvl w:val="0"/>
          <w:numId w:val="11"/>
        </w:numPr>
        <w:ind w:left="567" w:hanging="567"/>
        <w:sectPr w:rsidR="00186F15">
          <w:footerReference w:type="default" r:id="rId9"/>
          <w:pgSz w:w="11906" w:h="16838"/>
          <w:pgMar w:top="1417" w:right="1701" w:bottom="1417" w:left="1701" w:header="708" w:footer="708" w:gutter="0"/>
          <w:cols w:space="708"/>
          <w:docGrid w:linePitch="360"/>
        </w:sectPr>
      </w:pPr>
    </w:p>
    <w:p w:rsidR="00393248" w:rsidRDefault="00547D7F" w:rsidP="00B83F89">
      <w:pPr>
        <w:pStyle w:val="Ttulo1"/>
        <w:numPr>
          <w:ilvl w:val="0"/>
          <w:numId w:val="11"/>
        </w:numPr>
        <w:ind w:left="567" w:hanging="567"/>
        <w:jc w:val="both"/>
      </w:pPr>
      <w:bookmarkStart w:id="0" w:name="_Toc511290574"/>
      <w:r>
        <w:lastRenderedPageBreak/>
        <w:t xml:space="preserve">Ejercicio 1. </w:t>
      </w:r>
      <w:r w:rsidR="00E63009">
        <w:t>Elaborar un esquema personal del bl</w:t>
      </w:r>
      <w:r w:rsidR="00445268">
        <w:t>oque manuscrito</w:t>
      </w:r>
      <w:bookmarkEnd w:id="0"/>
      <w:r w:rsidR="00E63009">
        <w:t xml:space="preserve"> </w:t>
      </w:r>
    </w:p>
    <w:p w:rsidR="00E1377A" w:rsidRDefault="002F2715" w:rsidP="00B83F89">
      <w:pPr>
        <w:spacing w:before="240"/>
        <w:ind w:firstLine="567"/>
        <w:jc w:val="both"/>
      </w:pPr>
      <w:r>
        <w:t>El alumno elaborará un esquema del bloque siguiendo sus propias ideas de forma que se haga una exposición del mismo para que el tutor pueda deducir que ha adquirido los conocimientos del tema.</w:t>
      </w:r>
    </w:p>
    <w:p w:rsidR="002F2715" w:rsidRDefault="002F2715" w:rsidP="00B83F89">
      <w:pPr>
        <w:spacing w:before="240"/>
        <w:ind w:firstLine="567"/>
        <w:jc w:val="both"/>
      </w:pPr>
      <w:r>
        <w:t>La idea de hacerlo manuscrito es para personalizar lo máximo posible el trabajo.</w:t>
      </w:r>
    </w:p>
    <w:p w:rsidR="002F2715" w:rsidRDefault="002F2715" w:rsidP="00B83F89">
      <w:pPr>
        <w:spacing w:before="240"/>
        <w:ind w:firstLine="567"/>
        <w:jc w:val="both"/>
      </w:pPr>
      <w:r>
        <w:t>Se elaborará con tinta azul y se podrán utilizar distintos colores según criterio del alumno.</w:t>
      </w:r>
    </w:p>
    <w:p w:rsidR="00C8331E" w:rsidRDefault="003E4BFB" w:rsidP="00C8331E">
      <w:pPr>
        <w:pStyle w:val="Ttulo1"/>
        <w:numPr>
          <w:ilvl w:val="0"/>
          <w:numId w:val="11"/>
        </w:numPr>
        <w:ind w:left="567" w:hanging="567"/>
        <w:jc w:val="both"/>
      </w:pPr>
      <w:bookmarkStart w:id="1" w:name="_Toc511290575"/>
      <w:r>
        <w:t xml:space="preserve">Ejercicio 2. </w:t>
      </w:r>
      <w:r w:rsidR="00C8331E">
        <w:t>Definición y diferencias entre procesos declarativos y procesos ejecutivos.</w:t>
      </w:r>
      <w:bookmarkEnd w:id="1"/>
    </w:p>
    <w:p w:rsidR="00C8331E" w:rsidRDefault="00C8331E" w:rsidP="00B83F89">
      <w:pPr>
        <w:spacing w:before="240"/>
        <w:ind w:firstLine="567"/>
        <w:jc w:val="both"/>
      </w:pPr>
      <w:r>
        <w:t>El alumno definirá con sus palabras ambos tipos de procesos y expondrá sus diferencias.</w:t>
      </w:r>
    </w:p>
    <w:p w:rsidR="00F20638" w:rsidRDefault="003E4BFB" w:rsidP="00F20638">
      <w:pPr>
        <w:pStyle w:val="Ttulo1"/>
        <w:numPr>
          <w:ilvl w:val="0"/>
          <w:numId w:val="11"/>
        </w:numPr>
        <w:ind w:left="567" w:hanging="567"/>
        <w:jc w:val="both"/>
      </w:pPr>
      <w:bookmarkStart w:id="2" w:name="_Toc511290576"/>
      <w:r>
        <w:t xml:space="preserve">Ejercicio 3. </w:t>
      </w:r>
      <w:r w:rsidR="00F20638">
        <w:t>Definición de usucapión.</w:t>
      </w:r>
      <w:bookmarkEnd w:id="2"/>
    </w:p>
    <w:p w:rsidR="00F20638" w:rsidRPr="00D6795F" w:rsidRDefault="00F20638" w:rsidP="00B83F89">
      <w:pPr>
        <w:spacing w:before="240"/>
        <w:ind w:firstLine="567"/>
        <w:jc w:val="both"/>
      </w:pPr>
      <w:r>
        <w:t>El alumno definirá con sus palabras lo que entiende por usucapión utilizando todo tipo de referencias que crea oportunas.</w:t>
      </w:r>
    </w:p>
    <w:p w:rsidR="00393248" w:rsidRDefault="00547D7F" w:rsidP="00B83F89">
      <w:pPr>
        <w:pStyle w:val="Ttulo1"/>
        <w:numPr>
          <w:ilvl w:val="0"/>
          <w:numId w:val="11"/>
        </w:numPr>
        <w:ind w:left="567" w:hanging="567"/>
        <w:jc w:val="both"/>
      </w:pPr>
      <w:bookmarkStart w:id="3" w:name="_Toc511290577"/>
      <w:r>
        <w:t>Test examen</w:t>
      </w:r>
      <w:bookmarkEnd w:id="3"/>
      <w:r>
        <w:t xml:space="preserve"> </w:t>
      </w:r>
    </w:p>
    <w:p w:rsidR="00615652" w:rsidRPr="00615652" w:rsidRDefault="00615652" w:rsidP="00615652">
      <w:pPr>
        <w:pStyle w:val="Prrafodelista"/>
        <w:spacing w:before="240"/>
        <w:ind w:left="284" w:firstLine="850"/>
        <w:contextualSpacing w:val="0"/>
        <w:jc w:val="both"/>
      </w:pPr>
      <w:r w:rsidRPr="00615652">
        <w:t>Responder a las siguientes 10 preguntas tipo test sabiendo que sólo una respuesta es la correcta.</w:t>
      </w:r>
    </w:p>
    <w:p w:rsidR="002F2715" w:rsidRPr="001B586D" w:rsidRDefault="001B586D" w:rsidP="002140A0">
      <w:pPr>
        <w:pStyle w:val="Prrafodelista"/>
        <w:numPr>
          <w:ilvl w:val="0"/>
          <w:numId w:val="23"/>
        </w:numPr>
        <w:spacing w:before="240"/>
        <w:ind w:left="714" w:hanging="357"/>
        <w:contextualSpacing w:val="0"/>
        <w:jc w:val="both"/>
        <w:rPr>
          <w:b/>
        </w:rPr>
      </w:pPr>
      <w:r w:rsidRPr="001B586D">
        <w:rPr>
          <w:b/>
        </w:rPr>
        <w:t>La diferencia entre un derecho real y un derecho de crédito es…</w:t>
      </w:r>
    </w:p>
    <w:p w:rsidR="002F2715" w:rsidRDefault="001B586D" w:rsidP="001B586D">
      <w:pPr>
        <w:pStyle w:val="Prrafodelista"/>
        <w:numPr>
          <w:ilvl w:val="0"/>
          <w:numId w:val="24"/>
        </w:numPr>
        <w:spacing w:before="240"/>
        <w:contextualSpacing w:val="0"/>
        <w:jc w:val="both"/>
      </w:pPr>
      <w:r w:rsidRPr="001B586D">
        <w:t>El derecho real es una relación entre una persona y una cosa, a diferencia de lo que ocurre con los Derechos de obligación o de crédito en que existe una relación dos personas.</w:t>
      </w:r>
    </w:p>
    <w:p w:rsidR="002140A0" w:rsidRPr="001B586D" w:rsidRDefault="001B586D" w:rsidP="001B586D">
      <w:pPr>
        <w:pStyle w:val="Prrafodelista"/>
        <w:numPr>
          <w:ilvl w:val="0"/>
          <w:numId w:val="24"/>
        </w:numPr>
        <w:spacing w:before="240"/>
        <w:contextualSpacing w:val="0"/>
        <w:jc w:val="both"/>
      </w:pPr>
      <w:r w:rsidRPr="001B586D">
        <w:t>Que el derecho real otorga a su titular la facultad de gozar, disponer o usar la cosa sobre la que recae el derecho, en mayor o menor medida en función del tipo de derecho real de que se trate.</w:t>
      </w:r>
    </w:p>
    <w:p w:rsidR="002140A0" w:rsidRDefault="001B586D" w:rsidP="001B586D">
      <w:pPr>
        <w:pStyle w:val="Prrafodelista"/>
        <w:numPr>
          <w:ilvl w:val="0"/>
          <w:numId w:val="24"/>
        </w:numPr>
        <w:spacing w:before="240"/>
        <w:contextualSpacing w:val="0"/>
        <w:jc w:val="both"/>
      </w:pPr>
      <w:r w:rsidRPr="001B586D">
        <w:t xml:space="preserve">Que el derecho real tiene valor frente a todos (erga </w:t>
      </w:r>
      <w:proofErr w:type="spellStart"/>
      <w:r w:rsidRPr="001B586D">
        <w:t>homnes</w:t>
      </w:r>
      <w:proofErr w:type="spellEnd"/>
      <w:r w:rsidRPr="001B586D">
        <w:t>) y su titular puede hacerlo valer frente a cualquier persona que perturbe o interfiera en su ejercicio</w:t>
      </w:r>
      <w:r>
        <w:t>.</w:t>
      </w:r>
    </w:p>
    <w:p w:rsidR="00476C00" w:rsidRPr="00C0247B" w:rsidRDefault="001B586D" w:rsidP="00476C00">
      <w:pPr>
        <w:pStyle w:val="Prrafodelista"/>
        <w:numPr>
          <w:ilvl w:val="0"/>
          <w:numId w:val="24"/>
        </w:numPr>
        <w:spacing w:before="240"/>
        <w:contextualSpacing w:val="0"/>
        <w:jc w:val="both"/>
      </w:pPr>
      <w:bookmarkStart w:id="4" w:name="_GoBack"/>
      <w:r w:rsidRPr="00C0247B">
        <w:t>a), b) y c) son correctas.</w:t>
      </w:r>
    </w:p>
    <w:p w:rsidR="00476C00" w:rsidRPr="00C0247B" w:rsidRDefault="00FB719C" w:rsidP="003A2A17">
      <w:pPr>
        <w:pStyle w:val="Prrafodelista"/>
        <w:numPr>
          <w:ilvl w:val="0"/>
          <w:numId w:val="23"/>
        </w:numPr>
        <w:spacing w:before="240"/>
        <w:ind w:left="714" w:hanging="357"/>
        <w:contextualSpacing w:val="0"/>
        <w:jc w:val="both"/>
        <w:rPr>
          <w:b/>
        </w:rPr>
      </w:pPr>
      <w:r w:rsidRPr="00C0247B">
        <w:rPr>
          <w:b/>
        </w:rPr>
        <w:t>Según la teoría general del patrimonio…</w:t>
      </w:r>
    </w:p>
    <w:p w:rsidR="00E73CA8" w:rsidRPr="00C0247B" w:rsidRDefault="00C67F4C" w:rsidP="003A2A17">
      <w:pPr>
        <w:pStyle w:val="Prrafodelista"/>
        <w:numPr>
          <w:ilvl w:val="0"/>
          <w:numId w:val="25"/>
        </w:numPr>
        <w:spacing w:before="240"/>
        <w:ind w:left="924" w:hanging="357"/>
        <w:contextualSpacing w:val="0"/>
        <w:jc w:val="both"/>
      </w:pPr>
      <w:r w:rsidRPr="00C0247B">
        <w:t>El concepto de patrimonio solo tiene sentido positivo, es decir, solo se refiere a los bienes de una persona.</w:t>
      </w:r>
    </w:p>
    <w:p w:rsidR="003A2A17" w:rsidRPr="00C0247B" w:rsidRDefault="00C67F4C" w:rsidP="003A2A17">
      <w:pPr>
        <w:pStyle w:val="Prrafodelista"/>
        <w:numPr>
          <w:ilvl w:val="0"/>
          <w:numId w:val="25"/>
        </w:numPr>
        <w:spacing w:before="240"/>
        <w:ind w:left="924" w:hanging="357"/>
        <w:contextualSpacing w:val="0"/>
        <w:jc w:val="both"/>
      </w:pPr>
      <w:r w:rsidRPr="00C0247B">
        <w:lastRenderedPageBreak/>
        <w:t>En el concepto de patrimonio se tiene en cuenta tanto lo positivo como lo negativo, es decir, tanto los bienes como las cargas o deudas que los gravan.</w:t>
      </w:r>
    </w:p>
    <w:p w:rsidR="003A2A17" w:rsidRPr="00C0247B" w:rsidRDefault="00C67F4C" w:rsidP="003A2A17">
      <w:pPr>
        <w:pStyle w:val="Prrafodelista"/>
        <w:numPr>
          <w:ilvl w:val="0"/>
          <w:numId w:val="25"/>
        </w:numPr>
        <w:spacing w:before="240"/>
        <w:ind w:left="924" w:hanging="357"/>
        <w:contextualSpacing w:val="0"/>
        <w:jc w:val="both"/>
      </w:pPr>
      <w:r w:rsidRPr="00C0247B">
        <w:t>El Código Civil proporciona claramente el concepto de cosa.</w:t>
      </w:r>
    </w:p>
    <w:p w:rsidR="003A2A17" w:rsidRPr="00C0247B" w:rsidRDefault="00C67F4C" w:rsidP="003A2A17">
      <w:pPr>
        <w:pStyle w:val="Prrafodelista"/>
        <w:numPr>
          <w:ilvl w:val="0"/>
          <w:numId w:val="25"/>
        </w:numPr>
        <w:spacing w:before="240"/>
        <w:ind w:left="924" w:hanging="357"/>
        <w:contextualSpacing w:val="0"/>
        <w:jc w:val="both"/>
      </w:pPr>
      <w:r w:rsidRPr="00C0247B">
        <w:t>Ninguna de las anteriores es correcta.</w:t>
      </w:r>
    </w:p>
    <w:p w:rsidR="003A2A17" w:rsidRPr="00C0247B" w:rsidRDefault="00C67F4C" w:rsidP="00C86516">
      <w:pPr>
        <w:pStyle w:val="Prrafodelista"/>
        <w:numPr>
          <w:ilvl w:val="0"/>
          <w:numId w:val="23"/>
        </w:numPr>
        <w:spacing w:before="240"/>
        <w:ind w:left="714" w:hanging="357"/>
        <w:contextualSpacing w:val="0"/>
        <w:jc w:val="both"/>
        <w:rPr>
          <w:b/>
        </w:rPr>
      </w:pPr>
      <w:r w:rsidRPr="00C0247B">
        <w:rPr>
          <w:b/>
        </w:rPr>
        <w:t>Señale cuál de los derechos expuestos es un derecho real.</w:t>
      </w:r>
    </w:p>
    <w:p w:rsidR="00D87313" w:rsidRPr="00C0247B" w:rsidRDefault="00C67F4C" w:rsidP="00C86516">
      <w:pPr>
        <w:pStyle w:val="Prrafodelista"/>
        <w:numPr>
          <w:ilvl w:val="0"/>
          <w:numId w:val="26"/>
        </w:numPr>
        <w:spacing w:before="240"/>
        <w:contextualSpacing w:val="0"/>
        <w:jc w:val="both"/>
      </w:pPr>
      <w:r w:rsidRPr="00C0247B">
        <w:t>Usufructo.</w:t>
      </w:r>
    </w:p>
    <w:p w:rsidR="00C86516" w:rsidRPr="00C0247B" w:rsidRDefault="00C67F4C" w:rsidP="00C86516">
      <w:pPr>
        <w:pStyle w:val="Prrafodelista"/>
        <w:numPr>
          <w:ilvl w:val="0"/>
          <w:numId w:val="26"/>
        </w:numPr>
        <w:spacing w:before="240"/>
        <w:contextualSpacing w:val="0"/>
        <w:jc w:val="both"/>
      </w:pPr>
      <w:r w:rsidRPr="00C0247B">
        <w:t>Enfiteusis.</w:t>
      </w:r>
    </w:p>
    <w:p w:rsidR="00C86516" w:rsidRPr="00C0247B" w:rsidRDefault="00C67F4C" w:rsidP="00C86516">
      <w:pPr>
        <w:pStyle w:val="Prrafodelista"/>
        <w:numPr>
          <w:ilvl w:val="0"/>
          <w:numId w:val="26"/>
        </w:numPr>
        <w:spacing w:before="240"/>
        <w:contextualSpacing w:val="0"/>
        <w:jc w:val="both"/>
      </w:pPr>
      <w:r w:rsidRPr="00C0247B">
        <w:t>Anticresis.</w:t>
      </w:r>
    </w:p>
    <w:p w:rsidR="00C86516" w:rsidRPr="00C0247B" w:rsidRDefault="00C67F4C" w:rsidP="00C86516">
      <w:pPr>
        <w:pStyle w:val="Prrafodelista"/>
        <w:numPr>
          <w:ilvl w:val="0"/>
          <w:numId w:val="26"/>
        </w:numPr>
        <w:spacing w:before="240"/>
        <w:contextualSpacing w:val="0"/>
        <w:jc w:val="both"/>
      </w:pPr>
      <w:r w:rsidRPr="00C0247B">
        <w:t>Todas las anteriores son correctas.</w:t>
      </w:r>
    </w:p>
    <w:p w:rsidR="00C86516" w:rsidRPr="00C0247B" w:rsidRDefault="00F778CB" w:rsidP="00C86516">
      <w:pPr>
        <w:pStyle w:val="Prrafodelista"/>
        <w:numPr>
          <w:ilvl w:val="0"/>
          <w:numId w:val="23"/>
        </w:numPr>
        <w:spacing w:before="240"/>
        <w:ind w:left="714" w:hanging="357"/>
        <w:contextualSpacing w:val="0"/>
        <w:jc w:val="both"/>
        <w:rPr>
          <w:b/>
        </w:rPr>
      </w:pPr>
      <w:r w:rsidRPr="00C0247B">
        <w:rPr>
          <w:b/>
        </w:rPr>
        <w:t>Los derechos reales de goce, solo se refieren a la cosa ajena y nunca a la propia.</w:t>
      </w:r>
    </w:p>
    <w:p w:rsidR="00476EE2" w:rsidRPr="00C0247B" w:rsidRDefault="00476EE2" w:rsidP="00476EE2">
      <w:pPr>
        <w:pStyle w:val="Prrafodelista"/>
        <w:numPr>
          <w:ilvl w:val="0"/>
          <w:numId w:val="27"/>
        </w:numPr>
        <w:spacing w:before="240"/>
        <w:contextualSpacing w:val="0"/>
        <w:jc w:val="both"/>
      </w:pPr>
      <w:r w:rsidRPr="00C0247B">
        <w:t>Verdadero.</w:t>
      </w:r>
    </w:p>
    <w:p w:rsidR="00476EE2" w:rsidRPr="00C0247B" w:rsidRDefault="00476EE2" w:rsidP="00476EE2">
      <w:pPr>
        <w:pStyle w:val="Prrafodelista"/>
        <w:numPr>
          <w:ilvl w:val="0"/>
          <w:numId w:val="27"/>
        </w:numPr>
        <w:spacing w:before="240"/>
        <w:contextualSpacing w:val="0"/>
        <w:jc w:val="both"/>
      </w:pPr>
      <w:r w:rsidRPr="00C0247B">
        <w:t>Falso.</w:t>
      </w:r>
    </w:p>
    <w:p w:rsidR="00476EE2" w:rsidRPr="00C0247B" w:rsidRDefault="00753B6C" w:rsidP="00476EE2">
      <w:pPr>
        <w:pStyle w:val="Prrafodelista"/>
        <w:numPr>
          <w:ilvl w:val="0"/>
          <w:numId w:val="23"/>
        </w:numPr>
        <w:spacing w:before="240"/>
        <w:ind w:left="714" w:hanging="357"/>
        <w:contextualSpacing w:val="0"/>
        <w:jc w:val="both"/>
        <w:rPr>
          <w:b/>
        </w:rPr>
      </w:pPr>
      <w:r w:rsidRPr="00C0247B">
        <w:rPr>
          <w:b/>
        </w:rPr>
        <w:t>En cuanto a la hipoteca inmobiliaria…</w:t>
      </w:r>
    </w:p>
    <w:p w:rsidR="00844048" w:rsidRPr="00C0247B" w:rsidRDefault="003E497F" w:rsidP="00844048">
      <w:pPr>
        <w:pStyle w:val="Prrafodelista"/>
        <w:numPr>
          <w:ilvl w:val="0"/>
          <w:numId w:val="28"/>
        </w:numPr>
        <w:spacing w:before="240"/>
        <w:contextualSpacing w:val="0"/>
        <w:jc w:val="both"/>
      </w:pPr>
      <w:r w:rsidRPr="00C0247B">
        <w:t>Exige un desplazamiento de la posesión.</w:t>
      </w:r>
    </w:p>
    <w:p w:rsidR="00844048" w:rsidRPr="00C0247B" w:rsidRDefault="003E497F" w:rsidP="00844048">
      <w:pPr>
        <w:pStyle w:val="Prrafodelista"/>
        <w:numPr>
          <w:ilvl w:val="0"/>
          <w:numId w:val="28"/>
        </w:numPr>
        <w:spacing w:before="240"/>
        <w:contextualSpacing w:val="0"/>
        <w:jc w:val="both"/>
      </w:pPr>
      <w:r w:rsidRPr="00C0247B">
        <w:t>Los bienes no quedan en poder del hipotecante para que éste no pueda disfrutar de ellos.</w:t>
      </w:r>
    </w:p>
    <w:p w:rsidR="00844048" w:rsidRPr="00C0247B" w:rsidRDefault="003E497F" w:rsidP="00844048">
      <w:pPr>
        <w:pStyle w:val="Prrafodelista"/>
        <w:numPr>
          <w:ilvl w:val="0"/>
          <w:numId w:val="28"/>
        </w:numPr>
        <w:spacing w:before="240"/>
        <w:contextualSpacing w:val="0"/>
        <w:jc w:val="both"/>
      </w:pPr>
      <w:r w:rsidRPr="00C0247B">
        <w:t>Se trata de un derecho real de garantía.</w:t>
      </w:r>
    </w:p>
    <w:p w:rsidR="00844048" w:rsidRPr="00C0247B" w:rsidRDefault="003E497F" w:rsidP="00844048">
      <w:pPr>
        <w:pStyle w:val="Prrafodelista"/>
        <w:numPr>
          <w:ilvl w:val="0"/>
          <w:numId w:val="28"/>
        </w:numPr>
        <w:spacing w:before="240"/>
        <w:contextualSpacing w:val="0"/>
        <w:jc w:val="both"/>
      </w:pPr>
      <w:r w:rsidRPr="00C0247B">
        <w:t>Nunca se constituye como una obligación.</w:t>
      </w:r>
    </w:p>
    <w:p w:rsidR="00844048" w:rsidRPr="00C0247B" w:rsidRDefault="000B2B5C" w:rsidP="000B2B5C">
      <w:pPr>
        <w:pStyle w:val="Prrafodelista"/>
        <w:numPr>
          <w:ilvl w:val="0"/>
          <w:numId w:val="23"/>
        </w:numPr>
        <w:spacing w:before="240"/>
        <w:contextualSpacing w:val="0"/>
        <w:jc w:val="both"/>
        <w:rPr>
          <w:b/>
        </w:rPr>
      </w:pPr>
      <w:r w:rsidRPr="00C0247B">
        <w:rPr>
          <w:b/>
        </w:rPr>
        <w:t>La diferencia entre el derecho de tanteo y el derecho de retracto es el marco temporal en que se producen, siendo el tanteo antes de la adquisición, y el retracto, una vez que ésta está enajenada.</w:t>
      </w:r>
    </w:p>
    <w:p w:rsidR="00566CE7" w:rsidRPr="00C0247B" w:rsidRDefault="00566CE7" w:rsidP="00566CE7">
      <w:pPr>
        <w:pStyle w:val="Prrafodelista"/>
        <w:numPr>
          <w:ilvl w:val="0"/>
          <w:numId w:val="29"/>
        </w:numPr>
        <w:spacing w:before="240"/>
        <w:contextualSpacing w:val="0"/>
        <w:jc w:val="both"/>
      </w:pPr>
      <w:r w:rsidRPr="00C0247B">
        <w:t>Verdadero.</w:t>
      </w:r>
    </w:p>
    <w:p w:rsidR="00566CE7" w:rsidRPr="00C0247B" w:rsidRDefault="00566CE7" w:rsidP="00566CE7">
      <w:pPr>
        <w:pStyle w:val="Prrafodelista"/>
        <w:numPr>
          <w:ilvl w:val="0"/>
          <w:numId w:val="29"/>
        </w:numPr>
        <w:spacing w:before="240"/>
        <w:contextualSpacing w:val="0"/>
        <w:jc w:val="both"/>
      </w:pPr>
      <w:r w:rsidRPr="00C0247B">
        <w:t>Falso.</w:t>
      </w:r>
    </w:p>
    <w:p w:rsidR="00566CE7" w:rsidRPr="00C0247B" w:rsidRDefault="00C41506" w:rsidP="00566CE7">
      <w:pPr>
        <w:pStyle w:val="Prrafodelista"/>
        <w:numPr>
          <w:ilvl w:val="0"/>
          <w:numId w:val="23"/>
        </w:numPr>
        <w:spacing w:before="240"/>
        <w:ind w:left="714" w:hanging="357"/>
        <w:contextualSpacing w:val="0"/>
        <w:jc w:val="both"/>
        <w:rPr>
          <w:b/>
        </w:rPr>
      </w:pPr>
      <w:r w:rsidRPr="00C0247B">
        <w:rPr>
          <w:b/>
        </w:rPr>
        <w:t xml:space="preserve">En el derecho real de prenda, intervienen los siguientes </w:t>
      </w:r>
      <w:r w:rsidR="00D26AE9" w:rsidRPr="00C0247B">
        <w:rPr>
          <w:b/>
        </w:rPr>
        <w:t>sujetos</w:t>
      </w:r>
      <w:r w:rsidRPr="00C0247B">
        <w:rPr>
          <w:b/>
        </w:rPr>
        <w:t>:</w:t>
      </w:r>
    </w:p>
    <w:p w:rsidR="00651A9A" w:rsidRPr="00C0247B" w:rsidRDefault="00D26AE9" w:rsidP="00651A9A">
      <w:pPr>
        <w:pStyle w:val="Prrafodelista"/>
        <w:numPr>
          <w:ilvl w:val="0"/>
          <w:numId w:val="30"/>
        </w:numPr>
        <w:spacing w:before="240"/>
        <w:contextualSpacing w:val="0"/>
        <w:jc w:val="both"/>
      </w:pPr>
      <w:r w:rsidRPr="00C0247B">
        <w:t>El acreedor pignoraticio, el pignorante (que es otro acreedor) y el deudor.</w:t>
      </w:r>
    </w:p>
    <w:p w:rsidR="00651A9A" w:rsidRPr="00C0247B" w:rsidRDefault="00D26AE9" w:rsidP="00651A9A">
      <w:pPr>
        <w:pStyle w:val="Prrafodelista"/>
        <w:numPr>
          <w:ilvl w:val="0"/>
          <w:numId w:val="30"/>
        </w:numPr>
        <w:spacing w:before="240"/>
        <w:contextualSpacing w:val="0"/>
        <w:jc w:val="both"/>
      </w:pPr>
      <w:r w:rsidRPr="00C0247B">
        <w:t>El acreedor pignoraticio y el pignorante o deudor.</w:t>
      </w:r>
    </w:p>
    <w:p w:rsidR="00651A9A" w:rsidRPr="00C0247B" w:rsidRDefault="00D26AE9" w:rsidP="00651A9A">
      <w:pPr>
        <w:pStyle w:val="Prrafodelista"/>
        <w:numPr>
          <w:ilvl w:val="0"/>
          <w:numId w:val="30"/>
        </w:numPr>
        <w:spacing w:before="240"/>
        <w:contextualSpacing w:val="0"/>
        <w:jc w:val="both"/>
      </w:pPr>
      <w:r w:rsidRPr="00C0247B">
        <w:t>El acreedor pignoraticio, el poseedor de la cosa y el pignorante.</w:t>
      </w:r>
    </w:p>
    <w:p w:rsidR="00651A9A" w:rsidRPr="00C0247B" w:rsidRDefault="00D26AE9" w:rsidP="00651A9A">
      <w:pPr>
        <w:pStyle w:val="Prrafodelista"/>
        <w:numPr>
          <w:ilvl w:val="0"/>
          <w:numId w:val="30"/>
        </w:numPr>
        <w:spacing w:before="240"/>
        <w:contextualSpacing w:val="0"/>
        <w:jc w:val="both"/>
      </w:pPr>
      <w:r w:rsidRPr="00C0247B">
        <w:t xml:space="preserve">Ninguna de las anteriores es correcta. </w:t>
      </w:r>
    </w:p>
    <w:p w:rsidR="00651A9A" w:rsidRPr="00C0247B" w:rsidRDefault="001D3A7B" w:rsidP="00651A9A">
      <w:pPr>
        <w:pStyle w:val="Prrafodelista"/>
        <w:numPr>
          <w:ilvl w:val="0"/>
          <w:numId w:val="23"/>
        </w:numPr>
        <w:spacing w:before="240"/>
        <w:ind w:left="714" w:hanging="357"/>
        <w:contextualSpacing w:val="0"/>
        <w:jc w:val="both"/>
        <w:rPr>
          <w:b/>
        </w:rPr>
      </w:pPr>
      <w:r w:rsidRPr="00C0247B">
        <w:rPr>
          <w:b/>
        </w:rPr>
        <w:lastRenderedPageBreak/>
        <w:t xml:space="preserve">La prenda real sin desplazamiento es un derecho real mobiliario que </w:t>
      </w:r>
      <w:r w:rsidR="003E6075" w:rsidRPr="00C0247B">
        <w:rPr>
          <w:b/>
        </w:rPr>
        <w:t>se caracteriza por los siguientes aspectos</w:t>
      </w:r>
      <w:r w:rsidRPr="00C0247B">
        <w:rPr>
          <w:b/>
        </w:rPr>
        <w:t>:</w:t>
      </w:r>
    </w:p>
    <w:p w:rsidR="005E584F" w:rsidRPr="00C0247B" w:rsidRDefault="008E6827" w:rsidP="008E6827">
      <w:pPr>
        <w:pStyle w:val="Prrafodelista"/>
        <w:numPr>
          <w:ilvl w:val="0"/>
          <w:numId w:val="31"/>
        </w:numPr>
        <w:spacing w:before="240"/>
        <w:contextualSpacing w:val="0"/>
        <w:jc w:val="both"/>
      </w:pPr>
      <w:r w:rsidRPr="00C0247B">
        <w:t>Por la inscripción de la prenda, la cual tiene carácter constitutivo.</w:t>
      </w:r>
    </w:p>
    <w:p w:rsidR="00676F33" w:rsidRPr="00C0247B" w:rsidRDefault="008E6827" w:rsidP="008E6827">
      <w:pPr>
        <w:pStyle w:val="Prrafodelista"/>
        <w:numPr>
          <w:ilvl w:val="0"/>
          <w:numId w:val="31"/>
        </w:numPr>
        <w:spacing w:before="240"/>
        <w:contextualSpacing w:val="0"/>
        <w:jc w:val="both"/>
      </w:pPr>
      <w:r w:rsidRPr="00C0247B">
        <w:t xml:space="preserve">Por la determinación del status </w:t>
      </w:r>
      <w:proofErr w:type="spellStart"/>
      <w:r w:rsidRPr="00C0247B">
        <w:t>loci</w:t>
      </w:r>
      <w:proofErr w:type="spellEnd"/>
      <w:r w:rsidRPr="00C0247B">
        <w:t xml:space="preserve"> de la cosa dada en prenda.</w:t>
      </w:r>
    </w:p>
    <w:p w:rsidR="00676F33" w:rsidRPr="00C0247B" w:rsidRDefault="008E6827" w:rsidP="008E6827">
      <w:pPr>
        <w:pStyle w:val="Prrafodelista"/>
        <w:numPr>
          <w:ilvl w:val="0"/>
          <w:numId w:val="31"/>
        </w:numPr>
        <w:spacing w:before="240"/>
        <w:contextualSpacing w:val="0"/>
        <w:jc w:val="both"/>
      </w:pPr>
      <w:r w:rsidRPr="00C0247B">
        <w:t>Por la constitución de la cosa en situación análoga al depósito en manos del mismo pignorante, que es su propietario.</w:t>
      </w:r>
    </w:p>
    <w:p w:rsidR="00676F33" w:rsidRPr="00C0247B" w:rsidRDefault="008E6827" w:rsidP="00676F33">
      <w:pPr>
        <w:pStyle w:val="Prrafodelista"/>
        <w:numPr>
          <w:ilvl w:val="0"/>
          <w:numId w:val="31"/>
        </w:numPr>
        <w:spacing w:before="240"/>
        <w:contextualSpacing w:val="0"/>
        <w:jc w:val="both"/>
      </w:pPr>
      <w:r w:rsidRPr="00C0247B">
        <w:t>La a), b) y c) son correctas.</w:t>
      </w:r>
    </w:p>
    <w:p w:rsidR="00676F33" w:rsidRPr="00C0247B" w:rsidRDefault="002B5096" w:rsidP="00676F33">
      <w:pPr>
        <w:pStyle w:val="Prrafodelista"/>
        <w:numPr>
          <w:ilvl w:val="0"/>
          <w:numId w:val="23"/>
        </w:numPr>
        <w:spacing w:before="240"/>
        <w:ind w:left="714" w:hanging="357"/>
        <w:contextualSpacing w:val="0"/>
        <w:jc w:val="both"/>
        <w:rPr>
          <w:b/>
        </w:rPr>
      </w:pPr>
      <w:r w:rsidRPr="00C0247B">
        <w:rPr>
          <w:b/>
        </w:rPr>
        <w:t xml:space="preserve">En el derecho de superficie, las obligaciones del superficiario </w:t>
      </w:r>
      <w:r w:rsidR="00D433F2" w:rsidRPr="00C0247B">
        <w:rPr>
          <w:b/>
        </w:rPr>
        <w:t>tienen los siguientes aspectos</w:t>
      </w:r>
      <w:r w:rsidRPr="00C0247B">
        <w:rPr>
          <w:b/>
        </w:rPr>
        <w:t>:</w:t>
      </w:r>
    </w:p>
    <w:p w:rsidR="00304A62" w:rsidRPr="00C0247B" w:rsidRDefault="00D433F2" w:rsidP="00304A62">
      <w:pPr>
        <w:pStyle w:val="Prrafodelista"/>
        <w:numPr>
          <w:ilvl w:val="0"/>
          <w:numId w:val="32"/>
        </w:numPr>
        <w:spacing w:before="240"/>
        <w:contextualSpacing w:val="0"/>
        <w:jc w:val="both"/>
      </w:pPr>
      <w:r w:rsidRPr="00C0247B">
        <w:t>No afectan igual al concesionario que a su sucesor.</w:t>
      </w:r>
    </w:p>
    <w:p w:rsidR="00304A62" w:rsidRPr="00C0247B" w:rsidRDefault="00D433F2" w:rsidP="00304A62">
      <w:pPr>
        <w:pStyle w:val="Prrafodelista"/>
        <w:numPr>
          <w:ilvl w:val="0"/>
          <w:numId w:val="32"/>
        </w:numPr>
        <w:spacing w:before="240"/>
        <w:contextualSpacing w:val="0"/>
        <w:jc w:val="both"/>
      </w:pPr>
      <w:r w:rsidRPr="00C0247B">
        <w:t>Debe pagar la contraprestación convenida.</w:t>
      </w:r>
    </w:p>
    <w:p w:rsidR="00304A62" w:rsidRPr="00C0247B" w:rsidRDefault="003E6075" w:rsidP="00304A62">
      <w:pPr>
        <w:pStyle w:val="Prrafodelista"/>
        <w:numPr>
          <w:ilvl w:val="0"/>
          <w:numId w:val="32"/>
        </w:numPr>
        <w:spacing w:before="240"/>
        <w:contextualSpacing w:val="0"/>
        <w:jc w:val="both"/>
      </w:pPr>
      <w:r w:rsidRPr="00C0247B">
        <w:t>Queda eximido de los impuestos que afectan a la edificación.</w:t>
      </w:r>
    </w:p>
    <w:p w:rsidR="00304A62" w:rsidRPr="00C0247B" w:rsidRDefault="003E6075" w:rsidP="00304A62">
      <w:pPr>
        <w:pStyle w:val="Prrafodelista"/>
        <w:numPr>
          <w:ilvl w:val="0"/>
          <w:numId w:val="32"/>
        </w:numPr>
        <w:spacing w:before="240"/>
        <w:contextualSpacing w:val="0"/>
        <w:jc w:val="both"/>
      </w:pPr>
      <w:r w:rsidRPr="00C0247B">
        <w:t>Ninguna de las anteriores es correcta.</w:t>
      </w:r>
    </w:p>
    <w:p w:rsidR="00304A62" w:rsidRPr="00C0247B" w:rsidRDefault="004435A6" w:rsidP="00881735">
      <w:pPr>
        <w:pStyle w:val="Prrafodelista"/>
        <w:numPr>
          <w:ilvl w:val="0"/>
          <w:numId w:val="23"/>
        </w:numPr>
        <w:spacing w:before="240"/>
        <w:contextualSpacing w:val="0"/>
        <w:jc w:val="both"/>
        <w:rPr>
          <w:b/>
        </w:rPr>
      </w:pPr>
      <w:r w:rsidRPr="00C0247B">
        <w:rPr>
          <w:b/>
        </w:rPr>
        <w:t>El Derecho Real, según el Código Civil…</w:t>
      </w:r>
    </w:p>
    <w:p w:rsidR="00304A62" w:rsidRPr="00C0247B" w:rsidRDefault="004435A6" w:rsidP="00881735">
      <w:pPr>
        <w:pStyle w:val="Prrafodelista"/>
        <w:numPr>
          <w:ilvl w:val="0"/>
          <w:numId w:val="33"/>
        </w:numPr>
        <w:spacing w:before="240"/>
        <w:contextualSpacing w:val="0"/>
        <w:jc w:val="both"/>
      </w:pPr>
      <w:r w:rsidRPr="00C0247B">
        <w:t>Es un derecho relativo.</w:t>
      </w:r>
    </w:p>
    <w:p w:rsidR="00304A62" w:rsidRPr="00C0247B" w:rsidRDefault="00CE1B78" w:rsidP="00881735">
      <w:pPr>
        <w:pStyle w:val="Prrafodelista"/>
        <w:numPr>
          <w:ilvl w:val="0"/>
          <w:numId w:val="33"/>
        </w:numPr>
        <w:spacing w:before="240"/>
        <w:contextualSpacing w:val="0"/>
        <w:jc w:val="both"/>
      </w:pPr>
      <w:r w:rsidRPr="00C0247B">
        <w:t>Establecen una relación entre una cosa y una persona sujeta a unas normas.</w:t>
      </w:r>
    </w:p>
    <w:p w:rsidR="00304A62" w:rsidRPr="00C0247B" w:rsidRDefault="00CE1B78" w:rsidP="00881735">
      <w:pPr>
        <w:pStyle w:val="Prrafodelista"/>
        <w:numPr>
          <w:ilvl w:val="0"/>
          <w:numId w:val="33"/>
        </w:numPr>
        <w:spacing w:before="240"/>
        <w:contextualSpacing w:val="0"/>
        <w:jc w:val="both"/>
      </w:pPr>
      <w:r w:rsidRPr="00C0247B">
        <w:t xml:space="preserve">No se ejerce contra todos, es decir, no es erga </w:t>
      </w:r>
      <w:proofErr w:type="spellStart"/>
      <w:r w:rsidRPr="00C0247B">
        <w:t>homnes</w:t>
      </w:r>
      <w:proofErr w:type="spellEnd"/>
      <w:r w:rsidRPr="00C0247B">
        <w:t>.</w:t>
      </w:r>
    </w:p>
    <w:p w:rsidR="00304A62" w:rsidRPr="00C0247B" w:rsidRDefault="00CE1B78" w:rsidP="00881735">
      <w:pPr>
        <w:pStyle w:val="Prrafodelista"/>
        <w:numPr>
          <w:ilvl w:val="0"/>
          <w:numId w:val="33"/>
        </w:numPr>
        <w:spacing w:before="240"/>
        <w:contextualSpacing w:val="0"/>
        <w:jc w:val="both"/>
      </w:pPr>
      <w:r w:rsidRPr="00C0247B">
        <w:t>Ninguna de las anteriores es correcta.</w:t>
      </w:r>
      <w:bookmarkEnd w:id="4"/>
    </w:p>
    <w:sectPr w:rsidR="00304A62" w:rsidRPr="00C0247B" w:rsidSect="00186F15">
      <w:footerReference w:type="default" r:id="rId10"/>
      <w:pgSz w:w="11906" w:h="16838"/>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F29" w:rsidRDefault="002D7F29" w:rsidP="00186F15">
      <w:pPr>
        <w:spacing w:after="0" w:line="240" w:lineRule="auto"/>
      </w:pPr>
      <w:r>
        <w:separator/>
      </w:r>
    </w:p>
  </w:endnote>
  <w:endnote w:type="continuationSeparator" w:id="0">
    <w:p w:rsidR="002D7F29" w:rsidRDefault="002D7F29" w:rsidP="00186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6086371"/>
      <w:docPartObj>
        <w:docPartGallery w:val="Page Numbers (Bottom of Page)"/>
        <w:docPartUnique/>
      </w:docPartObj>
    </w:sdtPr>
    <w:sdtEndPr/>
    <w:sdtContent>
      <w:p w:rsidR="00186F15" w:rsidRDefault="00900C5E">
        <w:pPr>
          <w:pStyle w:val="Piedepgina"/>
          <w:jc w:val="right"/>
        </w:pPr>
        <w:r>
          <w:t>PORTADA</w:t>
        </w:r>
      </w:p>
    </w:sdtContent>
  </w:sdt>
  <w:p w:rsidR="00186F15" w:rsidRDefault="00186F1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5739919"/>
      <w:docPartObj>
        <w:docPartGallery w:val="Page Numbers (Bottom of Page)"/>
        <w:docPartUnique/>
      </w:docPartObj>
    </w:sdtPr>
    <w:sdtEndPr/>
    <w:sdtContent>
      <w:p w:rsidR="00900C5E" w:rsidRDefault="00900C5E">
        <w:pPr>
          <w:pStyle w:val="Piedepgina"/>
          <w:jc w:val="right"/>
        </w:pPr>
        <w:r>
          <w:t>ÍNDICE</w:t>
        </w:r>
      </w:p>
    </w:sdtContent>
  </w:sdt>
  <w:p w:rsidR="00900C5E" w:rsidRDefault="00900C5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901884"/>
      <w:docPartObj>
        <w:docPartGallery w:val="Page Numbers (Bottom of Page)"/>
        <w:docPartUnique/>
      </w:docPartObj>
    </w:sdtPr>
    <w:sdtEndPr/>
    <w:sdtContent>
      <w:p w:rsidR="00186F15" w:rsidRDefault="00186F15">
        <w:pPr>
          <w:pStyle w:val="Piedepgina"/>
          <w:jc w:val="right"/>
        </w:pPr>
        <w:r>
          <w:fldChar w:fldCharType="begin"/>
        </w:r>
        <w:r>
          <w:instrText>PAGE   \* MERGEFORMAT</w:instrText>
        </w:r>
        <w:r>
          <w:fldChar w:fldCharType="separate"/>
        </w:r>
        <w:r w:rsidR="00C0247B">
          <w:rPr>
            <w:noProof/>
          </w:rPr>
          <w:t>2</w:t>
        </w:r>
        <w:r>
          <w:fldChar w:fldCharType="end"/>
        </w:r>
      </w:p>
    </w:sdtContent>
  </w:sdt>
  <w:p w:rsidR="00186F15" w:rsidRDefault="00186F1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F29" w:rsidRDefault="002D7F29" w:rsidP="00186F15">
      <w:pPr>
        <w:spacing w:after="0" w:line="240" w:lineRule="auto"/>
      </w:pPr>
      <w:r>
        <w:separator/>
      </w:r>
    </w:p>
  </w:footnote>
  <w:footnote w:type="continuationSeparator" w:id="0">
    <w:p w:rsidR="002D7F29" w:rsidRDefault="002D7F29" w:rsidP="00186F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D253A"/>
    <w:multiLevelType w:val="multilevel"/>
    <w:tmpl w:val="7F7C2406"/>
    <w:lvl w:ilvl="0">
      <w:start w:val="1"/>
      <w:numFmt w:val="decimal"/>
      <w:lvlText w:val="%1."/>
      <w:lvlJc w:val="left"/>
      <w:pPr>
        <w:ind w:left="720" w:hanging="360"/>
      </w:pPr>
      <w:rPr>
        <w:rFonts w:hint="default"/>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38F2256"/>
    <w:multiLevelType w:val="multilevel"/>
    <w:tmpl w:val="7F7C2406"/>
    <w:lvl w:ilvl="0">
      <w:start w:val="1"/>
      <w:numFmt w:val="decimal"/>
      <w:lvlText w:val="%1."/>
      <w:lvlJc w:val="left"/>
      <w:pPr>
        <w:ind w:left="720" w:hanging="360"/>
      </w:pPr>
      <w:rPr>
        <w:rFonts w:hint="default"/>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9A1226B"/>
    <w:multiLevelType w:val="hybridMultilevel"/>
    <w:tmpl w:val="6192B5A6"/>
    <w:lvl w:ilvl="0" w:tplc="06D8D5CE">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 w15:restartNumberingAfterBreak="0">
    <w:nsid w:val="12BB43CF"/>
    <w:multiLevelType w:val="multilevel"/>
    <w:tmpl w:val="6BA8636E"/>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 w15:restartNumberingAfterBreak="0">
    <w:nsid w:val="148E4150"/>
    <w:multiLevelType w:val="hybridMultilevel"/>
    <w:tmpl w:val="6192B5A6"/>
    <w:lvl w:ilvl="0" w:tplc="06D8D5CE">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5" w15:restartNumberingAfterBreak="0">
    <w:nsid w:val="189F4786"/>
    <w:multiLevelType w:val="hybridMultilevel"/>
    <w:tmpl w:val="D458D622"/>
    <w:lvl w:ilvl="0" w:tplc="7ABAC5DA">
      <w:start w:val="5"/>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B8A363D"/>
    <w:multiLevelType w:val="hybridMultilevel"/>
    <w:tmpl w:val="6192B5A6"/>
    <w:lvl w:ilvl="0" w:tplc="06D8D5CE">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7" w15:restartNumberingAfterBreak="0">
    <w:nsid w:val="217C4ADC"/>
    <w:multiLevelType w:val="hybridMultilevel"/>
    <w:tmpl w:val="46187AB2"/>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8" w15:restartNumberingAfterBreak="0">
    <w:nsid w:val="23326427"/>
    <w:multiLevelType w:val="hybridMultilevel"/>
    <w:tmpl w:val="6192B5A6"/>
    <w:lvl w:ilvl="0" w:tplc="06D8D5CE">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9" w15:restartNumberingAfterBreak="0">
    <w:nsid w:val="25335D9E"/>
    <w:multiLevelType w:val="multilevel"/>
    <w:tmpl w:val="6BA8636E"/>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0" w15:restartNumberingAfterBreak="0">
    <w:nsid w:val="26E302B5"/>
    <w:multiLevelType w:val="hybridMultilevel"/>
    <w:tmpl w:val="6192B5A6"/>
    <w:lvl w:ilvl="0" w:tplc="06D8D5CE">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1" w15:restartNumberingAfterBreak="0">
    <w:nsid w:val="27A0703A"/>
    <w:multiLevelType w:val="hybridMultilevel"/>
    <w:tmpl w:val="6192B5A6"/>
    <w:lvl w:ilvl="0" w:tplc="06D8D5CE">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2" w15:restartNumberingAfterBreak="0">
    <w:nsid w:val="302C39EB"/>
    <w:multiLevelType w:val="hybridMultilevel"/>
    <w:tmpl w:val="1706B90C"/>
    <w:lvl w:ilvl="0" w:tplc="0824982A">
      <w:start w:val="1"/>
      <w:numFmt w:val="decimal"/>
      <w:pStyle w:val="Ttulo2"/>
      <w:lvlText w:val="3. %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0F724FC"/>
    <w:multiLevelType w:val="multilevel"/>
    <w:tmpl w:val="6BA8636E"/>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4" w15:restartNumberingAfterBreak="0">
    <w:nsid w:val="345B4681"/>
    <w:multiLevelType w:val="multilevel"/>
    <w:tmpl w:val="6BA8636E"/>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5" w15:restartNumberingAfterBreak="0">
    <w:nsid w:val="38083BDB"/>
    <w:multiLevelType w:val="multilevel"/>
    <w:tmpl w:val="DDA0D144"/>
    <w:lvl w:ilvl="0">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6" w15:restartNumberingAfterBreak="0">
    <w:nsid w:val="3CA96457"/>
    <w:multiLevelType w:val="hybridMultilevel"/>
    <w:tmpl w:val="726AB114"/>
    <w:lvl w:ilvl="0" w:tplc="869A33F4">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7" w15:restartNumberingAfterBreak="0">
    <w:nsid w:val="409C6FBC"/>
    <w:multiLevelType w:val="hybridMultilevel"/>
    <w:tmpl w:val="6192B5A6"/>
    <w:lvl w:ilvl="0" w:tplc="06D8D5CE">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8" w15:restartNumberingAfterBreak="0">
    <w:nsid w:val="469761B3"/>
    <w:multiLevelType w:val="hybridMultilevel"/>
    <w:tmpl w:val="A1C8FA0A"/>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9" w15:restartNumberingAfterBreak="0">
    <w:nsid w:val="4DA31F38"/>
    <w:multiLevelType w:val="hybridMultilevel"/>
    <w:tmpl w:val="AD34584E"/>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20" w15:restartNumberingAfterBreak="0">
    <w:nsid w:val="4FBC13E9"/>
    <w:multiLevelType w:val="multilevel"/>
    <w:tmpl w:val="6BA8636E"/>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1" w15:restartNumberingAfterBreak="0">
    <w:nsid w:val="505D431B"/>
    <w:multiLevelType w:val="multilevel"/>
    <w:tmpl w:val="6BA8636E"/>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2" w15:restartNumberingAfterBreak="0">
    <w:nsid w:val="50657B56"/>
    <w:multiLevelType w:val="multilevel"/>
    <w:tmpl w:val="6BA8636E"/>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3" w15:restartNumberingAfterBreak="0">
    <w:nsid w:val="55707D7A"/>
    <w:multiLevelType w:val="multilevel"/>
    <w:tmpl w:val="6BA8636E"/>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4" w15:restartNumberingAfterBreak="0">
    <w:nsid w:val="5C9206FF"/>
    <w:multiLevelType w:val="hybridMultilevel"/>
    <w:tmpl w:val="6192B5A6"/>
    <w:lvl w:ilvl="0" w:tplc="06D8D5CE">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5" w15:restartNumberingAfterBreak="0">
    <w:nsid w:val="66A50F75"/>
    <w:multiLevelType w:val="hybridMultilevel"/>
    <w:tmpl w:val="565EB35E"/>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26" w15:restartNumberingAfterBreak="0">
    <w:nsid w:val="6E3D675E"/>
    <w:multiLevelType w:val="hybridMultilevel"/>
    <w:tmpl w:val="6192B5A6"/>
    <w:lvl w:ilvl="0" w:tplc="06D8D5CE">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15"/>
  </w:num>
  <w:num w:numId="2">
    <w:abstractNumId w:val="21"/>
  </w:num>
  <w:num w:numId="3">
    <w:abstractNumId w:val="22"/>
  </w:num>
  <w:num w:numId="4">
    <w:abstractNumId w:val="3"/>
  </w:num>
  <w:num w:numId="5">
    <w:abstractNumId w:val="14"/>
  </w:num>
  <w:num w:numId="6">
    <w:abstractNumId w:val="9"/>
  </w:num>
  <w:num w:numId="7">
    <w:abstractNumId w:val="13"/>
  </w:num>
  <w:num w:numId="8">
    <w:abstractNumId w:val="20"/>
  </w:num>
  <w:num w:numId="9">
    <w:abstractNumId w:val="23"/>
  </w:num>
  <w:num w:numId="10">
    <w:abstractNumId w:val="5"/>
  </w:num>
  <w:num w:numId="11">
    <w:abstractNumId w:val="1"/>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9"/>
  </w:num>
  <w:num w:numId="20">
    <w:abstractNumId w:val="7"/>
  </w:num>
  <w:num w:numId="21">
    <w:abstractNumId w:val="18"/>
  </w:num>
  <w:num w:numId="22">
    <w:abstractNumId w:val="25"/>
  </w:num>
  <w:num w:numId="23">
    <w:abstractNumId w:val="0"/>
  </w:num>
  <w:num w:numId="24">
    <w:abstractNumId w:val="16"/>
  </w:num>
  <w:num w:numId="25">
    <w:abstractNumId w:val="24"/>
  </w:num>
  <w:num w:numId="26">
    <w:abstractNumId w:val="6"/>
  </w:num>
  <w:num w:numId="27">
    <w:abstractNumId w:val="17"/>
  </w:num>
  <w:num w:numId="28">
    <w:abstractNumId w:val="11"/>
  </w:num>
  <w:num w:numId="29">
    <w:abstractNumId w:val="4"/>
  </w:num>
  <w:num w:numId="30">
    <w:abstractNumId w:val="26"/>
  </w:num>
  <w:num w:numId="31">
    <w:abstractNumId w:val="8"/>
  </w:num>
  <w:num w:numId="32">
    <w:abstractNumId w:val="2"/>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17E"/>
    <w:rsid w:val="00006947"/>
    <w:rsid w:val="0004089E"/>
    <w:rsid w:val="00053CC0"/>
    <w:rsid w:val="000B0C7D"/>
    <w:rsid w:val="000B2B5C"/>
    <w:rsid w:val="00100CDC"/>
    <w:rsid w:val="00143A93"/>
    <w:rsid w:val="0017368F"/>
    <w:rsid w:val="00186F15"/>
    <w:rsid w:val="001910C7"/>
    <w:rsid w:val="001B114A"/>
    <w:rsid w:val="001B1412"/>
    <w:rsid w:val="001B586D"/>
    <w:rsid w:val="001D3A7B"/>
    <w:rsid w:val="00207533"/>
    <w:rsid w:val="002140A0"/>
    <w:rsid w:val="00237C19"/>
    <w:rsid w:val="00271DBB"/>
    <w:rsid w:val="002900ED"/>
    <w:rsid w:val="002B5096"/>
    <w:rsid w:val="002B52B3"/>
    <w:rsid w:val="002C4BE8"/>
    <w:rsid w:val="002D7F29"/>
    <w:rsid w:val="002F2715"/>
    <w:rsid w:val="002F4F4A"/>
    <w:rsid w:val="002F73D9"/>
    <w:rsid w:val="00304A62"/>
    <w:rsid w:val="00330537"/>
    <w:rsid w:val="0036752D"/>
    <w:rsid w:val="00393248"/>
    <w:rsid w:val="003945B9"/>
    <w:rsid w:val="003A2A17"/>
    <w:rsid w:val="003B6035"/>
    <w:rsid w:val="003E497F"/>
    <w:rsid w:val="003E4BFB"/>
    <w:rsid w:val="003E6075"/>
    <w:rsid w:val="003F474C"/>
    <w:rsid w:val="00420611"/>
    <w:rsid w:val="004435A6"/>
    <w:rsid w:val="00445268"/>
    <w:rsid w:val="0045228A"/>
    <w:rsid w:val="00453E9D"/>
    <w:rsid w:val="00454911"/>
    <w:rsid w:val="00457739"/>
    <w:rsid w:val="00476C00"/>
    <w:rsid w:val="00476EE2"/>
    <w:rsid w:val="00482CA3"/>
    <w:rsid w:val="00486CB4"/>
    <w:rsid w:val="004C5D03"/>
    <w:rsid w:val="00547D7F"/>
    <w:rsid w:val="00566CE7"/>
    <w:rsid w:val="005A48BC"/>
    <w:rsid w:val="005D6678"/>
    <w:rsid w:val="005E584F"/>
    <w:rsid w:val="005F17C6"/>
    <w:rsid w:val="00611C01"/>
    <w:rsid w:val="00615652"/>
    <w:rsid w:val="00651A9A"/>
    <w:rsid w:val="00676F33"/>
    <w:rsid w:val="00685DBC"/>
    <w:rsid w:val="006D0C73"/>
    <w:rsid w:val="006F2CAE"/>
    <w:rsid w:val="006F7CE0"/>
    <w:rsid w:val="00715791"/>
    <w:rsid w:val="00731D6E"/>
    <w:rsid w:val="00753B6C"/>
    <w:rsid w:val="0077190E"/>
    <w:rsid w:val="00771D6F"/>
    <w:rsid w:val="008023E1"/>
    <w:rsid w:val="00813C2E"/>
    <w:rsid w:val="00822240"/>
    <w:rsid w:val="00824907"/>
    <w:rsid w:val="0084003E"/>
    <w:rsid w:val="00844048"/>
    <w:rsid w:val="008462C4"/>
    <w:rsid w:val="00881735"/>
    <w:rsid w:val="00884C89"/>
    <w:rsid w:val="00897E3C"/>
    <w:rsid w:val="008E1D1C"/>
    <w:rsid w:val="008E6827"/>
    <w:rsid w:val="008F1ED4"/>
    <w:rsid w:val="00900C5E"/>
    <w:rsid w:val="00901294"/>
    <w:rsid w:val="0091574D"/>
    <w:rsid w:val="00933CCC"/>
    <w:rsid w:val="0099053F"/>
    <w:rsid w:val="009D44DB"/>
    <w:rsid w:val="009D5E2E"/>
    <w:rsid w:val="00A078DC"/>
    <w:rsid w:val="00AA7945"/>
    <w:rsid w:val="00AD0A04"/>
    <w:rsid w:val="00AD7E2F"/>
    <w:rsid w:val="00AF7247"/>
    <w:rsid w:val="00B104E3"/>
    <w:rsid w:val="00B26640"/>
    <w:rsid w:val="00B37039"/>
    <w:rsid w:val="00B77EF3"/>
    <w:rsid w:val="00B80680"/>
    <w:rsid w:val="00B83F89"/>
    <w:rsid w:val="00B87501"/>
    <w:rsid w:val="00BA6A90"/>
    <w:rsid w:val="00BD017E"/>
    <w:rsid w:val="00C0247B"/>
    <w:rsid w:val="00C23C43"/>
    <w:rsid w:val="00C41506"/>
    <w:rsid w:val="00C67F4C"/>
    <w:rsid w:val="00C70F64"/>
    <w:rsid w:val="00C8331E"/>
    <w:rsid w:val="00C86516"/>
    <w:rsid w:val="00C92F05"/>
    <w:rsid w:val="00CB1A4E"/>
    <w:rsid w:val="00CC48AC"/>
    <w:rsid w:val="00CE017B"/>
    <w:rsid w:val="00CE1B78"/>
    <w:rsid w:val="00CF16C8"/>
    <w:rsid w:val="00D06AF2"/>
    <w:rsid w:val="00D26AE9"/>
    <w:rsid w:val="00D27AB9"/>
    <w:rsid w:val="00D306F5"/>
    <w:rsid w:val="00D342A1"/>
    <w:rsid w:val="00D433F2"/>
    <w:rsid w:val="00D45627"/>
    <w:rsid w:val="00D6795F"/>
    <w:rsid w:val="00D725A3"/>
    <w:rsid w:val="00D87313"/>
    <w:rsid w:val="00DE3659"/>
    <w:rsid w:val="00E0344E"/>
    <w:rsid w:val="00E1377A"/>
    <w:rsid w:val="00E63009"/>
    <w:rsid w:val="00E73CA8"/>
    <w:rsid w:val="00EC116C"/>
    <w:rsid w:val="00ED64ED"/>
    <w:rsid w:val="00EE2FB0"/>
    <w:rsid w:val="00EE5F4A"/>
    <w:rsid w:val="00F20638"/>
    <w:rsid w:val="00F72307"/>
    <w:rsid w:val="00F778CB"/>
    <w:rsid w:val="00F851F5"/>
    <w:rsid w:val="00F9285B"/>
    <w:rsid w:val="00F94822"/>
    <w:rsid w:val="00F97B74"/>
    <w:rsid w:val="00FA2BF7"/>
    <w:rsid w:val="00FB719C"/>
    <w:rsid w:val="00FC0F9E"/>
    <w:rsid w:val="00FE1B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30D53EE-7B3B-4FE7-8CEC-E5B3BDB0B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C5E"/>
  </w:style>
  <w:style w:type="paragraph" w:styleId="Ttulo1">
    <w:name w:val="heading 1"/>
    <w:basedOn w:val="Normal"/>
    <w:next w:val="Normal"/>
    <w:link w:val="Ttulo1Car"/>
    <w:uiPriority w:val="9"/>
    <w:qFormat/>
    <w:rsid w:val="00D679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D6795F"/>
    <w:pPr>
      <w:keepNext/>
      <w:keepLines/>
      <w:numPr>
        <w:numId w:val="12"/>
      </w:numPr>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93248"/>
    <w:pPr>
      <w:ind w:left="720"/>
      <w:contextualSpacing/>
    </w:pPr>
  </w:style>
  <w:style w:type="character" w:customStyle="1" w:styleId="Ttulo1Car">
    <w:name w:val="Título 1 Car"/>
    <w:basedOn w:val="Fuentedeprrafopredeter"/>
    <w:link w:val="Ttulo1"/>
    <w:uiPriority w:val="9"/>
    <w:rsid w:val="00D6795F"/>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D6795F"/>
    <w:rPr>
      <w:rFonts w:asciiTheme="majorHAnsi" w:eastAsiaTheme="majorEastAsia" w:hAnsiTheme="majorHAnsi" w:cstheme="majorBidi"/>
      <w:color w:val="2E74B5" w:themeColor="accent1" w:themeShade="BF"/>
      <w:sz w:val="26"/>
      <w:szCs w:val="26"/>
    </w:rPr>
  </w:style>
  <w:style w:type="paragraph" w:styleId="TtuloTDC">
    <w:name w:val="TOC Heading"/>
    <w:basedOn w:val="Ttulo1"/>
    <w:next w:val="Normal"/>
    <w:uiPriority w:val="39"/>
    <w:unhideWhenUsed/>
    <w:qFormat/>
    <w:rsid w:val="00330537"/>
    <w:pPr>
      <w:outlineLvl w:val="9"/>
    </w:pPr>
    <w:rPr>
      <w:lang w:eastAsia="es-ES"/>
    </w:rPr>
  </w:style>
  <w:style w:type="paragraph" w:styleId="ndice1">
    <w:name w:val="index 1"/>
    <w:basedOn w:val="Normal"/>
    <w:next w:val="Normal"/>
    <w:autoRedefine/>
    <w:uiPriority w:val="99"/>
    <w:semiHidden/>
    <w:unhideWhenUsed/>
    <w:rsid w:val="00330537"/>
    <w:pPr>
      <w:spacing w:after="0" w:line="240" w:lineRule="auto"/>
      <w:ind w:left="220" w:hanging="220"/>
    </w:pPr>
  </w:style>
  <w:style w:type="paragraph" w:styleId="TDC1">
    <w:name w:val="toc 1"/>
    <w:basedOn w:val="Normal"/>
    <w:next w:val="Normal"/>
    <w:autoRedefine/>
    <w:uiPriority w:val="39"/>
    <w:unhideWhenUsed/>
    <w:rsid w:val="00330537"/>
    <w:pPr>
      <w:spacing w:after="100"/>
    </w:pPr>
  </w:style>
  <w:style w:type="paragraph" w:styleId="TDC2">
    <w:name w:val="toc 2"/>
    <w:basedOn w:val="Normal"/>
    <w:next w:val="Normal"/>
    <w:autoRedefine/>
    <w:uiPriority w:val="39"/>
    <w:unhideWhenUsed/>
    <w:rsid w:val="00330537"/>
    <w:pPr>
      <w:spacing w:after="100"/>
      <w:ind w:left="220"/>
    </w:pPr>
  </w:style>
  <w:style w:type="character" w:styleId="Hipervnculo">
    <w:name w:val="Hyperlink"/>
    <w:basedOn w:val="Fuentedeprrafopredeter"/>
    <w:uiPriority w:val="99"/>
    <w:unhideWhenUsed/>
    <w:rsid w:val="00330537"/>
    <w:rPr>
      <w:color w:val="0563C1" w:themeColor="hyperlink"/>
      <w:u w:val="single"/>
    </w:rPr>
  </w:style>
  <w:style w:type="paragraph" w:styleId="Encabezado">
    <w:name w:val="header"/>
    <w:basedOn w:val="Normal"/>
    <w:link w:val="EncabezadoCar"/>
    <w:uiPriority w:val="99"/>
    <w:unhideWhenUsed/>
    <w:rsid w:val="00186F1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86F15"/>
  </w:style>
  <w:style w:type="paragraph" w:styleId="Piedepgina">
    <w:name w:val="footer"/>
    <w:basedOn w:val="Normal"/>
    <w:link w:val="PiedepginaCar"/>
    <w:uiPriority w:val="99"/>
    <w:unhideWhenUsed/>
    <w:rsid w:val="00186F1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86F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49FAD-E1D2-4A9F-A1E6-F39C3186F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697</Words>
  <Characters>3838</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3</cp:revision>
  <dcterms:created xsi:type="dcterms:W3CDTF">2018-06-21T21:23:00Z</dcterms:created>
  <dcterms:modified xsi:type="dcterms:W3CDTF">2018-06-21T21:23:00Z</dcterms:modified>
</cp:coreProperties>
</file>