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C5E" w:rsidRPr="006F2CAE" w:rsidRDefault="00900C5E" w:rsidP="00900C5E">
      <w:pPr>
        <w:ind w:left="1276" w:hanging="1276"/>
        <w:jc w:val="both"/>
        <w:rPr>
          <w:sz w:val="28"/>
          <w:szCs w:val="28"/>
        </w:rPr>
      </w:pPr>
      <w:r w:rsidRPr="006F2CAE">
        <w:rPr>
          <w:sz w:val="28"/>
          <w:szCs w:val="28"/>
          <w:u w:val="single"/>
        </w:rPr>
        <w:t>CURSO</w:t>
      </w:r>
      <w:r w:rsidRPr="006F2CAE">
        <w:rPr>
          <w:sz w:val="28"/>
          <w:szCs w:val="28"/>
        </w:rPr>
        <w:t>: PERITO JUDICIAL EN VALORACIONES Y TASACIONES INMOBILIARIAS.</w:t>
      </w:r>
    </w:p>
    <w:p w:rsidR="00900C5E" w:rsidRDefault="00900C5E" w:rsidP="00900C5E">
      <w:pPr>
        <w:tabs>
          <w:tab w:val="left" w:pos="4979"/>
        </w:tabs>
        <w:ind w:left="2268" w:hanging="2268"/>
        <w:jc w:val="both"/>
        <w:rPr>
          <w:sz w:val="28"/>
          <w:szCs w:val="28"/>
          <w:u w:val="single"/>
        </w:rPr>
      </w:pPr>
      <w:r w:rsidRPr="006F2CAE">
        <w:rPr>
          <w:sz w:val="28"/>
          <w:szCs w:val="28"/>
          <w:u w:val="single"/>
        </w:rPr>
        <w:t>IMPARTIDO POR</w:t>
      </w:r>
      <w:r w:rsidRPr="006F2CAE">
        <w:rPr>
          <w:sz w:val="28"/>
          <w:szCs w:val="28"/>
        </w:rPr>
        <w:t>: CENTRO FORMATIVO DE LA ASOCIACIÓN JUDICIAL NACIONAL DE PERITOS.</w:t>
      </w:r>
    </w:p>
    <w:p w:rsidR="00900C5E" w:rsidRDefault="00707923" w:rsidP="00053CC0">
      <w:pPr>
        <w:tabs>
          <w:tab w:val="left" w:pos="4979"/>
        </w:tabs>
        <w:spacing w:before="10000"/>
        <w:jc w:val="right"/>
        <w:rPr>
          <w:sz w:val="28"/>
          <w:szCs w:val="28"/>
        </w:rPr>
      </w:pPr>
      <w:r>
        <w:rPr>
          <w:sz w:val="28"/>
          <w:szCs w:val="28"/>
          <w:u w:val="single"/>
        </w:rPr>
        <w:t>EJERCICIOS DEL BLOQUE 4</w:t>
      </w:r>
      <w:r w:rsidR="00900C5E" w:rsidRPr="00900C5E">
        <w:rPr>
          <w:sz w:val="28"/>
          <w:szCs w:val="28"/>
        </w:rPr>
        <w:t xml:space="preserve">: </w:t>
      </w:r>
      <w:r>
        <w:rPr>
          <w:sz w:val="28"/>
          <w:szCs w:val="28"/>
        </w:rPr>
        <w:t>MÉTODOS DE VALORACIÓN</w:t>
      </w:r>
      <w:r w:rsidR="00824907" w:rsidRPr="00824907">
        <w:rPr>
          <w:sz w:val="28"/>
          <w:szCs w:val="28"/>
        </w:rPr>
        <w:t>.</w:t>
      </w:r>
    </w:p>
    <w:p w:rsidR="00900C5E" w:rsidRPr="00900C5E" w:rsidRDefault="00900C5E" w:rsidP="00900C5E">
      <w:pPr>
        <w:tabs>
          <w:tab w:val="left" w:pos="4979"/>
        </w:tabs>
        <w:rPr>
          <w:sz w:val="28"/>
          <w:szCs w:val="28"/>
        </w:rPr>
        <w:sectPr w:rsidR="00900C5E" w:rsidRPr="00900C5E">
          <w:footerReference w:type="default" r:id="rId8"/>
          <w:pgSz w:w="11906" w:h="16838"/>
          <w:pgMar w:top="1417" w:right="1701" w:bottom="1417" w:left="1701" w:header="708" w:footer="708" w:gutter="0"/>
          <w:cols w:space="708"/>
          <w:docGrid w:linePitch="360"/>
        </w:sectPr>
      </w:pPr>
      <w:r>
        <w:rPr>
          <w:sz w:val="28"/>
          <w:szCs w:val="28"/>
        </w:rPr>
        <w:tab/>
      </w:r>
    </w:p>
    <w:p w:rsidR="00393248" w:rsidRPr="006F2CAE" w:rsidRDefault="00393248" w:rsidP="006F2CAE">
      <w:pPr>
        <w:jc w:val="center"/>
        <w:rPr>
          <w:sz w:val="28"/>
          <w:szCs w:val="28"/>
        </w:rPr>
      </w:pPr>
    </w:p>
    <w:sdt>
      <w:sdtPr>
        <w:rPr>
          <w:rFonts w:asciiTheme="minorHAnsi" w:eastAsiaTheme="minorHAnsi" w:hAnsiTheme="minorHAnsi" w:cstheme="minorBidi"/>
          <w:color w:val="auto"/>
          <w:sz w:val="22"/>
          <w:szCs w:val="22"/>
          <w:lang w:eastAsia="en-US"/>
        </w:rPr>
        <w:id w:val="315612444"/>
        <w:docPartObj>
          <w:docPartGallery w:val="Table of Contents"/>
          <w:docPartUnique/>
        </w:docPartObj>
      </w:sdtPr>
      <w:sdtEndPr>
        <w:rPr>
          <w:b/>
          <w:bCs/>
        </w:rPr>
      </w:sdtEndPr>
      <w:sdtContent>
        <w:p w:rsidR="00330537" w:rsidRPr="00771D6F" w:rsidRDefault="00900C5E" w:rsidP="0045228A">
          <w:pPr>
            <w:pStyle w:val="TtuloTDC"/>
            <w:spacing w:after="240"/>
            <w:jc w:val="center"/>
            <w:rPr>
              <w:u w:val="single"/>
            </w:rPr>
          </w:pPr>
          <w:r>
            <w:rPr>
              <w:u w:val="single"/>
            </w:rPr>
            <w:t>Ejercicios</w:t>
          </w:r>
          <w:r w:rsidR="00771D6F" w:rsidRPr="00771D6F">
            <w:rPr>
              <w:u w:val="single"/>
            </w:rPr>
            <w:t xml:space="preserve"> </w:t>
          </w:r>
          <w:r w:rsidR="006F2CAE" w:rsidRPr="00771D6F">
            <w:rPr>
              <w:u w:val="single"/>
            </w:rPr>
            <w:t>bloque</w:t>
          </w:r>
          <w:r w:rsidR="00707923">
            <w:rPr>
              <w:u w:val="single"/>
            </w:rPr>
            <w:t xml:space="preserve"> 4</w:t>
          </w:r>
        </w:p>
        <w:p w:rsidR="008C4CD4" w:rsidRDefault="00330537">
          <w:pPr>
            <w:pStyle w:val="TDC1"/>
            <w:tabs>
              <w:tab w:val="left" w:pos="440"/>
              <w:tab w:val="right" w:leader="dot" w:pos="8494"/>
            </w:tabs>
            <w:rPr>
              <w:rFonts w:eastAsiaTheme="minorEastAsia"/>
              <w:noProof/>
              <w:lang w:eastAsia="es-ES"/>
            </w:rPr>
          </w:pPr>
          <w:r>
            <w:fldChar w:fldCharType="begin"/>
          </w:r>
          <w:r>
            <w:instrText xml:space="preserve"> TOC \o "1-3" \h \z \u </w:instrText>
          </w:r>
          <w:r>
            <w:fldChar w:fldCharType="separate"/>
          </w:r>
          <w:hyperlink w:anchor="_Toc511298757" w:history="1">
            <w:r w:rsidR="008C4CD4" w:rsidRPr="00E11A09">
              <w:rPr>
                <w:rStyle w:val="Hipervnculo"/>
                <w:noProof/>
              </w:rPr>
              <w:t>1.</w:t>
            </w:r>
            <w:r w:rsidR="008C4CD4">
              <w:rPr>
                <w:rFonts w:eastAsiaTheme="minorEastAsia"/>
                <w:noProof/>
                <w:lang w:eastAsia="es-ES"/>
              </w:rPr>
              <w:tab/>
            </w:r>
            <w:r w:rsidR="008C4CD4" w:rsidRPr="00E11A09">
              <w:rPr>
                <w:rStyle w:val="Hipervnculo"/>
                <w:noProof/>
              </w:rPr>
              <w:t>Ejercicio 1. Elaborar un esquema personal del bloque manuscrito</w:t>
            </w:r>
            <w:r w:rsidR="008C4CD4">
              <w:rPr>
                <w:noProof/>
                <w:webHidden/>
              </w:rPr>
              <w:tab/>
            </w:r>
            <w:r w:rsidR="008C4CD4">
              <w:rPr>
                <w:noProof/>
                <w:webHidden/>
              </w:rPr>
              <w:fldChar w:fldCharType="begin"/>
            </w:r>
            <w:r w:rsidR="008C4CD4">
              <w:rPr>
                <w:noProof/>
                <w:webHidden/>
              </w:rPr>
              <w:instrText xml:space="preserve"> PAGEREF _Toc511298757 \h </w:instrText>
            </w:r>
            <w:r w:rsidR="008C4CD4">
              <w:rPr>
                <w:noProof/>
                <w:webHidden/>
              </w:rPr>
            </w:r>
            <w:r w:rsidR="008C4CD4">
              <w:rPr>
                <w:noProof/>
                <w:webHidden/>
              </w:rPr>
              <w:fldChar w:fldCharType="separate"/>
            </w:r>
            <w:r w:rsidR="008C4CD4">
              <w:rPr>
                <w:noProof/>
                <w:webHidden/>
              </w:rPr>
              <w:t>1</w:t>
            </w:r>
            <w:r w:rsidR="008C4CD4">
              <w:rPr>
                <w:noProof/>
                <w:webHidden/>
              </w:rPr>
              <w:fldChar w:fldCharType="end"/>
            </w:r>
          </w:hyperlink>
        </w:p>
        <w:p w:rsidR="008C4CD4" w:rsidRDefault="00E6648A">
          <w:pPr>
            <w:pStyle w:val="TDC1"/>
            <w:tabs>
              <w:tab w:val="left" w:pos="440"/>
              <w:tab w:val="right" w:leader="dot" w:pos="8494"/>
            </w:tabs>
            <w:rPr>
              <w:rFonts w:eastAsiaTheme="minorEastAsia"/>
              <w:noProof/>
              <w:lang w:eastAsia="es-ES"/>
            </w:rPr>
          </w:pPr>
          <w:hyperlink w:anchor="_Toc511298758" w:history="1">
            <w:r w:rsidR="008C4CD4" w:rsidRPr="00E11A09">
              <w:rPr>
                <w:rStyle w:val="Hipervnculo"/>
                <w:noProof/>
              </w:rPr>
              <w:t>2.</w:t>
            </w:r>
            <w:r w:rsidR="008C4CD4">
              <w:rPr>
                <w:rFonts w:eastAsiaTheme="minorEastAsia"/>
                <w:noProof/>
                <w:lang w:eastAsia="es-ES"/>
              </w:rPr>
              <w:tab/>
            </w:r>
            <w:r w:rsidR="008C4CD4" w:rsidRPr="00E11A09">
              <w:rPr>
                <w:rStyle w:val="Hipervnculo"/>
                <w:noProof/>
              </w:rPr>
              <w:t>Ejercicio 2. Analiza las órdenes ECO 805/2003 Y EHA 3011/2007</w:t>
            </w:r>
            <w:r w:rsidR="008C4CD4">
              <w:rPr>
                <w:noProof/>
                <w:webHidden/>
              </w:rPr>
              <w:tab/>
            </w:r>
            <w:r w:rsidR="008C4CD4">
              <w:rPr>
                <w:noProof/>
                <w:webHidden/>
              </w:rPr>
              <w:fldChar w:fldCharType="begin"/>
            </w:r>
            <w:r w:rsidR="008C4CD4">
              <w:rPr>
                <w:noProof/>
                <w:webHidden/>
              </w:rPr>
              <w:instrText xml:space="preserve"> PAGEREF _Toc511298758 \h </w:instrText>
            </w:r>
            <w:r w:rsidR="008C4CD4">
              <w:rPr>
                <w:noProof/>
                <w:webHidden/>
              </w:rPr>
            </w:r>
            <w:r w:rsidR="008C4CD4">
              <w:rPr>
                <w:noProof/>
                <w:webHidden/>
              </w:rPr>
              <w:fldChar w:fldCharType="separate"/>
            </w:r>
            <w:r w:rsidR="008C4CD4">
              <w:rPr>
                <w:noProof/>
                <w:webHidden/>
              </w:rPr>
              <w:t>1</w:t>
            </w:r>
            <w:r w:rsidR="008C4CD4">
              <w:rPr>
                <w:noProof/>
                <w:webHidden/>
              </w:rPr>
              <w:fldChar w:fldCharType="end"/>
            </w:r>
          </w:hyperlink>
        </w:p>
        <w:p w:rsidR="008C4CD4" w:rsidRDefault="00E6648A">
          <w:pPr>
            <w:pStyle w:val="TDC1"/>
            <w:tabs>
              <w:tab w:val="left" w:pos="440"/>
              <w:tab w:val="right" w:leader="dot" w:pos="8494"/>
            </w:tabs>
            <w:rPr>
              <w:rFonts w:eastAsiaTheme="minorEastAsia"/>
              <w:noProof/>
              <w:lang w:eastAsia="es-ES"/>
            </w:rPr>
          </w:pPr>
          <w:hyperlink w:anchor="_Toc511298759" w:history="1">
            <w:r w:rsidR="008C4CD4" w:rsidRPr="00E11A09">
              <w:rPr>
                <w:rStyle w:val="Hipervnculo"/>
                <w:noProof/>
              </w:rPr>
              <w:t>3.</w:t>
            </w:r>
            <w:r w:rsidR="008C4CD4">
              <w:rPr>
                <w:rFonts w:eastAsiaTheme="minorEastAsia"/>
                <w:noProof/>
                <w:lang w:eastAsia="es-ES"/>
              </w:rPr>
              <w:tab/>
            </w:r>
            <w:r w:rsidR="008C4CD4" w:rsidRPr="00E11A09">
              <w:rPr>
                <w:rStyle w:val="Hipervnculo"/>
                <w:noProof/>
              </w:rPr>
              <w:t>Test examen</w:t>
            </w:r>
            <w:r w:rsidR="008C4CD4">
              <w:rPr>
                <w:noProof/>
                <w:webHidden/>
              </w:rPr>
              <w:tab/>
            </w:r>
            <w:r w:rsidR="008C4CD4">
              <w:rPr>
                <w:noProof/>
                <w:webHidden/>
              </w:rPr>
              <w:fldChar w:fldCharType="begin"/>
            </w:r>
            <w:r w:rsidR="008C4CD4">
              <w:rPr>
                <w:noProof/>
                <w:webHidden/>
              </w:rPr>
              <w:instrText xml:space="preserve"> PAGEREF _Toc511298759 \h </w:instrText>
            </w:r>
            <w:r w:rsidR="008C4CD4">
              <w:rPr>
                <w:noProof/>
                <w:webHidden/>
              </w:rPr>
            </w:r>
            <w:r w:rsidR="008C4CD4">
              <w:rPr>
                <w:noProof/>
                <w:webHidden/>
              </w:rPr>
              <w:fldChar w:fldCharType="separate"/>
            </w:r>
            <w:r w:rsidR="008C4CD4">
              <w:rPr>
                <w:noProof/>
                <w:webHidden/>
              </w:rPr>
              <w:t>1</w:t>
            </w:r>
            <w:r w:rsidR="008C4CD4">
              <w:rPr>
                <w:noProof/>
                <w:webHidden/>
              </w:rPr>
              <w:fldChar w:fldCharType="end"/>
            </w:r>
          </w:hyperlink>
        </w:p>
        <w:p w:rsidR="00330537" w:rsidRDefault="00330537">
          <w:r>
            <w:rPr>
              <w:b/>
              <w:bCs/>
            </w:rPr>
            <w:fldChar w:fldCharType="end"/>
          </w:r>
        </w:p>
      </w:sdtContent>
    </w:sdt>
    <w:p w:rsidR="00186F15" w:rsidRDefault="00186F15" w:rsidP="00D6795F">
      <w:pPr>
        <w:pStyle w:val="Ttulo1"/>
        <w:numPr>
          <w:ilvl w:val="0"/>
          <w:numId w:val="11"/>
        </w:numPr>
        <w:ind w:left="567" w:hanging="567"/>
        <w:sectPr w:rsidR="00186F15">
          <w:footerReference w:type="default" r:id="rId9"/>
          <w:pgSz w:w="11906" w:h="16838"/>
          <w:pgMar w:top="1417" w:right="1701" w:bottom="1417" w:left="1701" w:header="708" w:footer="708" w:gutter="0"/>
          <w:cols w:space="708"/>
          <w:docGrid w:linePitch="360"/>
        </w:sectPr>
      </w:pPr>
    </w:p>
    <w:p w:rsidR="00393248" w:rsidRDefault="00873FBD" w:rsidP="00B83F89">
      <w:pPr>
        <w:pStyle w:val="Ttulo1"/>
        <w:numPr>
          <w:ilvl w:val="0"/>
          <w:numId w:val="11"/>
        </w:numPr>
        <w:ind w:left="567" w:hanging="567"/>
        <w:jc w:val="both"/>
      </w:pPr>
      <w:bookmarkStart w:id="0" w:name="_Toc511298757"/>
      <w:r>
        <w:lastRenderedPageBreak/>
        <w:t xml:space="preserve">Ejercicio 1. </w:t>
      </w:r>
      <w:r w:rsidR="00E63009">
        <w:t>Elaborar un esquema personal del bl</w:t>
      </w:r>
      <w:r w:rsidR="00445268">
        <w:t>oque manuscrito</w:t>
      </w:r>
      <w:bookmarkEnd w:id="0"/>
      <w:r w:rsidR="00E63009">
        <w:t xml:space="preserve"> </w:t>
      </w:r>
    </w:p>
    <w:p w:rsidR="00E1377A" w:rsidRPr="00830AC3" w:rsidRDefault="002F2715" w:rsidP="00B83F89">
      <w:pPr>
        <w:spacing w:before="240"/>
        <w:ind w:firstLine="567"/>
        <w:jc w:val="both"/>
      </w:pPr>
      <w:bookmarkStart w:id="1" w:name="_GoBack"/>
      <w:r w:rsidRPr="00830AC3">
        <w:t>El alumno elaborará un esquema del bloque siguiendo sus propias ideas de forma que se haga una exposición del mismo para que el tutor pueda deducir que ha adquirido los conocimientos del tema.</w:t>
      </w:r>
    </w:p>
    <w:p w:rsidR="002F2715" w:rsidRPr="00830AC3" w:rsidRDefault="002F2715" w:rsidP="00B83F89">
      <w:pPr>
        <w:spacing w:before="240"/>
        <w:ind w:firstLine="567"/>
        <w:jc w:val="both"/>
      </w:pPr>
      <w:r w:rsidRPr="00830AC3">
        <w:t>La idea de hacerlo manuscrito es para personalizar lo máximo posible el trabajo.</w:t>
      </w:r>
    </w:p>
    <w:p w:rsidR="002F2715" w:rsidRPr="00830AC3" w:rsidRDefault="002F2715" w:rsidP="00B83F89">
      <w:pPr>
        <w:spacing w:before="240"/>
        <w:ind w:firstLine="567"/>
        <w:jc w:val="both"/>
      </w:pPr>
      <w:r w:rsidRPr="00830AC3">
        <w:t>Se elaborará con tinta azul y se podrán utilizar distintos colores según criterio del alumno.</w:t>
      </w:r>
    </w:p>
    <w:p w:rsidR="00A07130" w:rsidRPr="00830AC3" w:rsidRDefault="00A07130" w:rsidP="00A07130">
      <w:pPr>
        <w:pStyle w:val="Ttulo1"/>
        <w:numPr>
          <w:ilvl w:val="0"/>
          <w:numId w:val="11"/>
        </w:numPr>
        <w:ind w:left="567" w:hanging="567"/>
        <w:jc w:val="both"/>
        <w:rPr>
          <w:color w:val="auto"/>
        </w:rPr>
      </w:pPr>
      <w:bookmarkStart w:id="2" w:name="_Toc511298758"/>
      <w:r w:rsidRPr="00830AC3">
        <w:rPr>
          <w:color w:val="auto"/>
        </w:rPr>
        <w:t>Ejercicio 2. Analiza las órdenes ECO 805/2003 Y EHA 3011/2007</w:t>
      </w:r>
      <w:bookmarkEnd w:id="2"/>
      <w:r w:rsidRPr="00830AC3">
        <w:rPr>
          <w:color w:val="auto"/>
        </w:rPr>
        <w:t xml:space="preserve"> </w:t>
      </w:r>
    </w:p>
    <w:p w:rsidR="00A07130" w:rsidRPr="00830AC3" w:rsidRDefault="00A07130" w:rsidP="00B83F89">
      <w:pPr>
        <w:spacing w:before="240"/>
        <w:ind w:firstLine="567"/>
        <w:jc w:val="both"/>
      </w:pPr>
      <w:r w:rsidRPr="00830AC3">
        <w:t>El alumno analizará las diferencias entre una y otra y valorará qué orden le parece más completa y por qué.</w:t>
      </w:r>
    </w:p>
    <w:p w:rsidR="00393248" w:rsidRPr="00830AC3" w:rsidRDefault="00075641" w:rsidP="00B83F89">
      <w:pPr>
        <w:pStyle w:val="Ttulo1"/>
        <w:numPr>
          <w:ilvl w:val="0"/>
          <w:numId w:val="11"/>
        </w:numPr>
        <w:ind w:left="567" w:hanging="567"/>
        <w:jc w:val="both"/>
        <w:rPr>
          <w:color w:val="auto"/>
        </w:rPr>
      </w:pPr>
      <w:bookmarkStart w:id="3" w:name="_Toc511298759"/>
      <w:r w:rsidRPr="00830AC3">
        <w:rPr>
          <w:color w:val="auto"/>
        </w:rPr>
        <w:t>Test examen</w:t>
      </w:r>
      <w:bookmarkEnd w:id="3"/>
    </w:p>
    <w:p w:rsidR="002F2715" w:rsidRPr="00830AC3" w:rsidRDefault="00075641" w:rsidP="00075641">
      <w:pPr>
        <w:pStyle w:val="Prrafodelista"/>
        <w:spacing w:before="240"/>
        <w:ind w:left="284" w:firstLine="850"/>
        <w:contextualSpacing w:val="0"/>
        <w:jc w:val="both"/>
      </w:pPr>
      <w:r w:rsidRPr="00830AC3">
        <w:t>Responder a las siguientes 10 preguntas tipo test sabiendo que sólo una respuesta es la correcta.</w:t>
      </w:r>
    </w:p>
    <w:p w:rsidR="00075641" w:rsidRPr="00830AC3" w:rsidRDefault="00927C57" w:rsidP="002140A0">
      <w:pPr>
        <w:pStyle w:val="Prrafodelista"/>
        <w:numPr>
          <w:ilvl w:val="0"/>
          <w:numId w:val="23"/>
        </w:numPr>
        <w:spacing w:before="240"/>
        <w:ind w:left="714" w:hanging="357"/>
        <w:contextualSpacing w:val="0"/>
        <w:jc w:val="both"/>
        <w:rPr>
          <w:b/>
        </w:rPr>
      </w:pPr>
      <w:r w:rsidRPr="00830AC3">
        <w:rPr>
          <w:b/>
        </w:rPr>
        <w:t>Señala cuál de los principios siguientes no es principio básico para una correcta valoración inmobiliaria.</w:t>
      </w:r>
    </w:p>
    <w:p w:rsidR="002F2715" w:rsidRPr="00830AC3" w:rsidRDefault="00736425" w:rsidP="002140A0">
      <w:pPr>
        <w:pStyle w:val="Prrafodelista"/>
        <w:numPr>
          <w:ilvl w:val="0"/>
          <w:numId w:val="24"/>
        </w:numPr>
        <w:spacing w:before="240"/>
        <w:ind w:left="924" w:hanging="357"/>
        <w:contextualSpacing w:val="0"/>
        <w:jc w:val="both"/>
      </w:pPr>
      <w:r w:rsidRPr="00830AC3">
        <w:t>Anticipación.</w:t>
      </w:r>
    </w:p>
    <w:p w:rsidR="002140A0" w:rsidRPr="00830AC3" w:rsidRDefault="00736425" w:rsidP="002140A0">
      <w:pPr>
        <w:pStyle w:val="Prrafodelista"/>
        <w:numPr>
          <w:ilvl w:val="0"/>
          <w:numId w:val="24"/>
        </w:numPr>
        <w:spacing w:before="240"/>
        <w:ind w:left="924" w:hanging="357"/>
        <w:contextualSpacing w:val="0"/>
        <w:jc w:val="both"/>
      </w:pPr>
      <w:r w:rsidRPr="00830AC3">
        <w:t>Mayor y mejor uso.</w:t>
      </w:r>
    </w:p>
    <w:p w:rsidR="002140A0" w:rsidRPr="00830AC3" w:rsidRDefault="00736425" w:rsidP="00476C00">
      <w:pPr>
        <w:pStyle w:val="Prrafodelista"/>
        <w:numPr>
          <w:ilvl w:val="0"/>
          <w:numId w:val="24"/>
        </w:numPr>
        <w:spacing w:before="240"/>
        <w:contextualSpacing w:val="0"/>
        <w:jc w:val="both"/>
      </w:pPr>
      <w:r w:rsidRPr="00830AC3">
        <w:t>Aleatoriedad.</w:t>
      </w:r>
    </w:p>
    <w:p w:rsidR="00476C00" w:rsidRPr="00830AC3" w:rsidRDefault="00736425" w:rsidP="00476C00">
      <w:pPr>
        <w:pStyle w:val="Prrafodelista"/>
        <w:numPr>
          <w:ilvl w:val="0"/>
          <w:numId w:val="24"/>
        </w:numPr>
        <w:spacing w:before="240"/>
        <w:contextualSpacing w:val="0"/>
        <w:jc w:val="both"/>
      </w:pPr>
      <w:r w:rsidRPr="00830AC3">
        <w:t>Prudencia.</w:t>
      </w:r>
    </w:p>
    <w:p w:rsidR="00476C00" w:rsidRPr="00830AC3" w:rsidRDefault="002B429D" w:rsidP="003A2A17">
      <w:pPr>
        <w:pStyle w:val="Prrafodelista"/>
        <w:numPr>
          <w:ilvl w:val="0"/>
          <w:numId w:val="23"/>
        </w:numPr>
        <w:spacing w:before="240"/>
        <w:ind w:left="714" w:hanging="357"/>
        <w:contextualSpacing w:val="0"/>
        <w:jc w:val="both"/>
        <w:rPr>
          <w:b/>
        </w:rPr>
      </w:pPr>
      <w:r w:rsidRPr="00830AC3">
        <w:rPr>
          <w:b/>
        </w:rPr>
        <w:t>El Valor de M</w:t>
      </w:r>
      <w:r w:rsidR="00736425" w:rsidRPr="00830AC3">
        <w:rPr>
          <w:b/>
        </w:rPr>
        <w:t>ercado o valor venal se define como:</w:t>
      </w:r>
    </w:p>
    <w:p w:rsidR="00E73CA8" w:rsidRPr="00830AC3" w:rsidRDefault="009F138A" w:rsidP="009F138A">
      <w:pPr>
        <w:pStyle w:val="Prrafodelista"/>
        <w:numPr>
          <w:ilvl w:val="0"/>
          <w:numId w:val="25"/>
        </w:numPr>
        <w:spacing w:before="240"/>
        <w:contextualSpacing w:val="0"/>
        <w:jc w:val="both"/>
      </w:pPr>
      <w:r w:rsidRPr="00830AC3">
        <w:t>El precio menor al que podría venderse, mediante contrato privado entre un vendedor voluntario y un comprador independiente en una determinada fecha, bajo la hipótesis de que el bien se hubiera ofrecido públicamente en el mercado, habiendo una de las dos partes teniendo interés personal o profesional en la transacción ajeno a la propia compraventa, que las condiciones del mercado permitieran disponer del mismo de una manera arbitraria y que se dispusiese de un plazo normal, habida cuenta de la naturaleza del inmueble, para negociar la venta.</w:t>
      </w:r>
    </w:p>
    <w:p w:rsidR="003A2A17" w:rsidRPr="00830AC3" w:rsidRDefault="009F138A" w:rsidP="009F138A">
      <w:pPr>
        <w:pStyle w:val="Prrafodelista"/>
        <w:numPr>
          <w:ilvl w:val="0"/>
          <w:numId w:val="25"/>
        </w:numPr>
        <w:spacing w:before="240"/>
        <w:contextualSpacing w:val="0"/>
        <w:jc w:val="both"/>
      </w:pPr>
      <w:r w:rsidRPr="00830AC3">
        <w:t xml:space="preserve">El precio más probable al que podría venderse, mediante contrato privado entre un vendedor voluntario y un comprador independiente en una determinada fecha, bajo la hipótesis de que el bien se hubiera ofrecido públicamente en el mercado, que ninguno de las dos partes tiene un interés personal o profesional en la transacción </w:t>
      </w:r>
      <w:r w:rsidRPr="00830AC3">
        <w:lastRenderedPageBreak/>
        <w:t>ajeno a la propia compraventa, que las condiciones del mercado permitieran disponer del mismo de una manera ordenada y que se dispusiese de un plazo normal, habida cuenta de la naturaleza del inmueble, para negociar la venta.</w:t>
      </w:r>
    </w:p>
    <w:p w:rsidR="003A2A17" w:rsidRPr="00830AC3" w:rsidRDefault="009F138A" w:rsidP="003A2A17">
      <w:pPr>
        <w:pStyle w:val="Prrafodelista"/>
        <w:numPr>
          <w:ilvl w:val="0"/>
          <w:numId w:val="25"/>
        </w:numPr>
        <w:spacing w:before="240"/>
        <w:ind w:left="924" w:hanging="357"/>
        <w:contextualSpacing w:val="0"/>
        <w:jc w:val="both"/>
      </w:pPr>
      <w:r w:rsidRPr="00830AC3">
        <w:t>El valor de mercado y el precio de mercado son exactamente lo mismo.</w:t>
      </w:r>
    </w:p>
    <w:p w:rsidR="003A2A17" w:rsidRPr="00830AC3" w:rsidRDefault="009F138A" w:rsidP="003A2A17">
      <w:pPr>
        <w:pStyle w:val="Prrafodelista"/>
        <w:numPr>
          <w:ilvl w:val="0"/>
          <w:numId w:val="25"/>
        </w:numPr>
        <w:spacing w:before="240"/>
        <w:ind w:left="924" w:hanging="357"/>
        <w:contextualSpacing w:val="0"/>
        <w:jc w:val="both"/>
      </w:pPr>
      <w:r w:rsidRPr="00830AC3">
        <w:t>Ninguna de las anteriores.</w:t>
      </w:r>
    </w:p>
    <w:p w:rsidR="003A2A17" w:rsidRPr="00830AC3" w:rsidRDefault="002B429D" w:rsidP="00C86516">
      <w:pPr>
        <w:pStyle w:val="Prrafodelista"/>
        <w:numPr>
          <w:ilvl w:val="0"/>
          <w:numId w:val="23"/>
        </w:numPr>
        <w:spacing w:before="240"/>
        <w:ind w:left="714" w:hanging="357"/>
        <w:contextualSpacing w:val="0"/>
        <w:jc w:val="both"/>
        <w:rPr>
          <w:b/>
        </w:rPr>
      </w:pPr>
      <w:r w:rsidRPr="00830AC3">
        <w:rPr>
          <w:b/>
        </w:rPr>
        <w:t>El Valor de Reemplazamiento Bruto o a nuevo (VRB) se define como:</w:t>
      </w:r>
    </w:p>
    <w:p w:rsidR="00D87313" w:rsidRPr="00830AC3" w:rsidRDefault="00B4538B" w:rsidP="00B4538B">
      <w:pPr>
        <w:pStyle w:val="Prrafodelista"/>
        <w:numPr>
          <w:ilvl w:val="0"/>
          <w:numId w:val="26"/>
        </w:numPr>
        <w:spacing w:before="240"/>
        <w:contextualSpacing w:val="0"/>
        <w:jc w:val="both"/>
      </w:pPr>
      <w:r w:rsidRPr="00830AC3">
        <w:t>La suma de las inversiones necesarias para construir en la fecha de valoración, otro inmueble de las mismas características, capacidad, uso, calidad, etc…, pero utilizando tecnología y materiales de construcción contemporáneos a la fecha de construcción del inmueble a valorar.</w:t>
      </w:r>
    </w:p>
    <w:p w:rsidR="00C86516" w:rsidRPr="00830AC3" w:rsidRDefault="00B4538B" w:rsidP="00C86516">
      <w:pPr>
        <w:pStyle w:val="Prrafodelista"/>
        <w:numPr>
          <w:ilvl w:val="0"/>
          <w:numId w:val="26"/>
        </w:numPr>
        <w:spacing w:before="240"/>
        <w:contextualSpacing w:val="0"/>
        <w:jc w:val="both"/>
      </w:pPr>
      <w:r w:rsidRPr="00830AC3">
        <w:t>Es un valor que reemplaza a otro teniendo solo en cuenta la fachada exterior y superficie, sin preocuparse del resto de características que no son importantes a la hora de los cálculos.</w:t>
      </w:r>
    </w:p>
    <w:p w:rsidR="00B4538B" w:rsidRPr="00830AC3" w:rsidRDefault="00B4538B" w:rsidP="00B4538B">
      <w:pPr>
        <w:pStyle w:val="Prrafodelista"/>
        <w:numPr>
          <w:ilvl w:val="0"/>
          <w:numId w:val="26"/>
        </w:numPr>
      </w:pPr>
      <w:r w:rsidRPr="00830AC3">
        <w:t>La suma de las inversiones necesarias para construir en la fecha de valoración, otro inmueble de las mismas características, capacidad, uso, calidad, etc…, pero utilizando tecnología y materiales de construcción actuales.</w:t>
      </w:r>
    </w:p>
    <w:p w:rsidR="00C86516" w:rsidRPr="00830AC3" w:rsidRDefault="00B4538B" w:rsidP="00C86516">
      <w:pPr>
        <w:pStyle w:val="Prrafodelista"/>
        <w:numPr>
          <w:ilvl w:val="0"/>
          <w:numId w:val="26"/>
        </w:numPr>
        <w:spacing w:before="240"/>
        <w:contextualSpacing w:val="0"/>
        <w:jc w:val="both"/>
      </w:pPr>
      <w:r w:rsidRPr="00830AC3">
        <w:t>Ninguna de las anteriores.</w:t>
      </w:r>
    </w:p>
    <w:p w:rsidR="00C86516" w:rsidRPr="00830AC3" w:rsidRDefault="001F7D2B" w:rsidP="00C86516">
      <w:pPr>
        <w:pStyle w:val="Prrafodelista"/>
        <w:numPr>
          <w:ilvl w:val="0"/>
          <w:numId w:val="23"/>
        </w:numPr>
        <w:spacing w:before="240"/>
        <w:ind w:left="714" w:hanging="357"/>
        <w:contextualSpacing w:val="0"/>
        <w:jc w:val="both"/>
        <w:rPr>
          <w:b/>
        </w:rPr>
      </w:pPr>
      <w:r w:rsidRPr="00830AC3">
        <w:rPr>
          <w:b/>
        </w:rPr>
        <w:t>A la hora de valorar un inmueble, da igual el método que se elija ya que todos tienen aplicación en todos los inmuebles con un buen estudio previo.</w:t>
      </w:r>
    </w:p>
    <w:p w:rsidR="00476EE2" w:rsidRPr="00830AC3" w:rsidRDefault="00476EE2" w:rsidP="00476EE2">
      <w:pPr>
        <w:pStyle w:val="Prrafodelista"/>
        <w:numPr>
          <w:ilvl w:val="0"/>
          <w:numId w:val="27"/>
        </w:numPr>
        <w:spacing w:before="240"/>
        <w:contextualSpacing w:val="0"/>
        <w:jc w:val="both"/>
      </w:pPr>
      <w:r w:rsidRPr="00830AC3">
        <w:t>Verdadero.</w:t>
      </w:r>
    </w:p>
    <w:p w:rsidR="00476EE2" w:rsidRPr="00830AC3" w:rsidRDefault="00476EE2" w:rsidP="00476EE2">
      <w:pPr>
        <w:pStyle w:val="Prrafodelista"/>
        <w:numPr>
          <w:ilvl w:val="0"/>
          <w:numId w:val="27"/>
        </w:numPr>
        <w:spacing w:before="240"/>
        <w:contextualSpacing w:val="0"/>
        <w:jc w:val="both"/>
      </w:pPr>
      <w:r w:rsidRPr="00830AC3">
        <w:t>Falso.</w:t>
      </w:r>
    </w:p>
    <w:p w:rsidR="00476EE2" w:rsidRPr="00830AC3" w:rsidRDefault="00162A3F" w:rsidP="00162A3F">
      <w:pPr>
        <w:pStyle w:val="Prrafodelista"/>
        <w:numPr>
          <w:ilvl w:val="0"/>
          <w:numId w:val="23"/>
        </w:numPr>
        <w:spacing w:before="240"/>
        <w:contextualSpacing w:val="0"/>
        <w:jc w:val="both"/>
        <w:rPr>
          <w:b/>
        </w:rPr>
      </w:pPr>
      <w:r w:rsidRPr="00830AC3">
        <w:rPr>
          <w:b/>
        </w:rPr>
        <w:t xml:space="preserve">Tenemos una edificación de </w:t>
      </w:r>
      <w:r w:rsidR="00AB401F" w:rsidRPr="00830AC3">
        <w:rPr>
          <w:b/>
        </w:rPr>
        <w:t>5</w:t>
      </w:r>
      <w:r w:rsidRPr="00830AC3">
        <w:rPr>
          <w:b/>
        </w:rPr>
        <w:t>50 m</w:t>
      </w:r>
      <w:r w:rsidRPr="00830AC3">
        <w:rPr>
          <w:b/>
          <w:vertAlign w:val="superscript"/>
        </w:rPr>
        <w:t>2</w:t>
      </w:r>
      <w:r w:rsidRPr="00830AC3">
        <w:rPr>
          <w:b/>
        </w:rPr>
        <w:t xml:space="preserve"> de superficie</w:t>
      </w:r>
      <w:r w:rsidR="00AB401F" w:rsidRPr="00830AC3">
        <w:rPr>
          <w:b/>
        </w:rPr>
        <w:t xml:space="preserve"> con los siguientes usos: 150 m</w:t>
      </w:r>
      <w:r w:rsidR="00AB401F" w:rsidRPr="00830AC3">
        <w:rPr>
          <w:b/>
          <w:vertAlign w:val="superscript"/>
        </w:rPr>
        <w:t>2</w:t>
      </w:r>
      <w:r w:rsidR="00AB401F" w:rsidRPr="00830AC3">
        <w:rPr>
          <w:b/>
        </w:rPr>
        <w:t xml:space="preserve"> son vivienda, 250 m</w:t>
      </w:r>
      <w:r w:rsidR="00AB401F" w:rsidRPr="00830AC3">
        <w:rPr>
          <w:b/>
          <w:vertAlign w:val="superscript"/>
        </w:rPr>
        <w:t>2</w:t>
      </w:r>
      <w:r w:rsidR="00AB401F" w:rsidRPr="00830AC3">
        <w:rPr>
          <w:b/>
        </w:rPr>
        <w:t xml:space="preserve"> son local comercial y 150 m</w:t>
      </w:r>
      <w:r w:rsidR="00AB401F" w:rsidRPr="00830AC3">
        <w:rPr>
          <w:b/>
          <w:vertAlign w:val="superscript"/>
        </w:rPr>
        <w:t>2</w:t>
      </w:r>
      <w:r w:rsidR="00AB401F" w:rsidRPr="00830AC3">
        <w:rPr>
          <w:b/>
        </w:rPr>
        <w:t xml:space="preserve"> son de oficinas. ¿Cuál es la vida útil de esta edificación?</w:t>
      </w:r>
    </w:p>
    <w:p w:rsidR="00844048" w:rsidRPr="00830AC3" w:rsidRDefault="00AB401F" w:rsidP="00844048">
      <w:pPr>
        <w:pStyle w:val="Prrafodelista"/>
        <w:numPr>
          <w:ilvl w:val="0"/>
          <w:numId w:val="28"/>
        </w:numPr>
        <w:spacing w:before="240"/>
        <w:contextualSpacing w:val="0"/>
        <w:jc w:val="both"/>
      </w:pPr>
      <w:r w:rsidRPr="00830AC3">
        <w:t>100 años ya que hay una vivienda en la edificación.</w:t>
      </w:r>
    </w:p>
    <w:p w:rsidR="00844048" w:rsidRPr="00830AC3" w:rsidRDefault="00AB401F" w:rsidP="00844048">
      <w:pPr>
        <w:pStyle w:val="Prrafodelista"/>
        <w:numPr>
          <w:ilvl w:val="0"/>
          <w:numId w:val="28"/>
        </w:numPr>
        <w:spacing w:before="240"/>
        <w:contextualSpacing w:val="0"/>
        <w:jc w:val="both"/>
      </w:pPr>
      <w:r w:rsidRPr="00830AC3">
        <w:t>Aproximadamente 70,45 años.</w:t>
      </w:r>
    </w:p>
    <w:p w:rsidR="00844048" w:rsidRPr="00830AC3" w:rsidRDefault="00AB401F" w:rsidP="00844048">
      <w:pPr>
        <w:pStyle w:val="Prrafodelista"/>
        <w:numPr>
          <w:ilvl w:val="0"/>
          <w:numId w:val="28"/>
        </w:numPr>
        <w:spacing w:before="240"/>
        <w:contextualSpacing w:val="0"/>
        <w:jc w:val="both"/>
      </w:pPr>
      <w:r w:rsidRPr="00830AC3">
        <w:t>50 años ya que el uso de local comercial es mucho mayor que el resto.</w:t>
      </w:r>
    </w:p>
    <w:p w:rsidR="00844048" w:rsidRPr="00830AC3" w:rsidRDefault="00AB401F" w:rsidP="00844048">
      <w:pPr>
        <w:pStyle w:val="Prrafodelista"/>
        <w:numPr>
          <w:ilvl w:val="0"/>
          <w:numId w:val="28"/>
        </w:numPr>
        <w:spacing w:before="240"/>
        <w:contextualSpacing w:val="0"/>
        <w:jc w:val="both"/>
      </w:pPr>
      <w:r w:rsidRPr="00830AC3">
        <w:t>Ninguna de las anteriores.</w:t>
      </w:r>
    </w:p>
    <w:p w:rsidR="00844048" w:rsidRPr="00830AC3" w:rsidRDefault="00E877CC" w:rsidP="00844048">
      <w:pPr>
        <w:pStyle w:val="Prrafodelista"/>
        <w:numPr>
          <w:ilvl w:val="0"/>
          <w:numId w:val="23"/>
        </w:numPr>
        <w:spacing w:before="240"/>
        <w:ind w:left="714" w:hanging="357"/>
        <w:contextualSpacing w:val="0"/>
        <w:jc w:val="both"/>
        <w:rPr>
          <w:b/>
        </w:rPr>
      </w:pPr>
      <w:r w:rsidRPr="00830AC3">
        <w:rPr>
          <w:b/>
        </w:rPr>
        <w:t xml:space="preserve">En el método de comparación, </w:t>
      </w:r>
      <w:r w:rsidR="005C32D5" w:rsidRPr="00830AC3">
        <w:rPr>
          <w:b/>
        </w:rPr>
        <w:t>es un método tan analítico y tan preciso, que el criterio particular del tasador prácticamente no interviene.</w:t>
      </w:r>
    </w:p>
    <w:p w:rsidR="00566CE7" w:rsidRPr="00830AC3" w:rsidRDefault="00566CE7" w:rsidP="00566CE7">
      <w:pPr>
        <w:pStyle w:val="Prrafodelista"/>
        <w:numPr>
          <w:ilvl w:val="0"/>
          <w:numId w:val="29"/>
        </w:numPr>
        <w:spacing w:before="240"/>
        <w:contextualSpacing w:val="0"/>
        <w:jc w:val="both"/>
      </w:pPr>
      <w:r w:rsidRPr="00830AC3">
        <w:t>Verdadero.</w:t>
      </w:r>
    </w:p>
    <w:p w:rsidR="00566CE7" w:rsidRPr="00830AC3" w:rsidRDefault="00566CE7" w:rsidP="00566CE7">
      <w:pPr>
        <w:pStyle w:val="Prrafodelista"/>
        <w:numPr>
          <w:ilvl w:val="0"/>
          <w:numId w:val="29"/>
        </w:numPr>
        <w:spacing w:before="240"/>
        <w:contextualSpacing w:val="0"/>
        <w:jc w:val="both"/>
      </w:pPr>
      <w:r w:rsidRPr="00830AC3">
        <w:t>Falso.</w:t>
      </w:r>
    </w:p>
    <w:p w:rsidR="00566CE7" w:rsidRPr="00830AC3" w:rsidRDefault="008873CA" w:rsidP="00566CE7">
      <w:pPr>
        <w:pStyle w:val="Prrafodelista"/>
        <w:numPr>
          <w:ilvl w:val="0"/>
          <w:numId w:val="23"/>
        </w:numPr>
        <w:spacing w:before="240"/>
        <w:ind w:left="714" w:hanging="357"/>
        <w:contextualSpacing w:val="0"/>
        <w:jc w:val="both"/>
        <w:rPr>
          <w:b/>
        </w:rPr>
      </w:pPr>
      <w:r w:rsidRPr="00830AC3">
        <w:rPr>
          <w:b/>
        </w:rPr>
        <w:t>En cuanto a la superficie del inmueble a tasar…</w:t>
      </w:r>
    </w:p>
    <w:p w:rsidR="00651A9A" w:rsidRPr="00830AC3" w:rsidRDefault="008873CA" w:rsidP="00651A9A">
      <w:pPr>
        <w:pStyle w:val="Prrafodelista"/>
        <w:numPr>
          <w:ilvl w:val="0"/>
          <w:numId w:val="30"/>
        </w:numPr>
        <w:spacing w:before="240"/>
        <w:contextualSpacing w:val="0"/>
        <w:jc w:val="both"/>
      </w:pPr>
      <w:r w:rsidRPr="00830AC3">
        <w:lastRenderedPageBreak/>
        <w:t>El tasador tiene la obligación de ir a visitar el inmueble para comprobar los datos de campo con los datos registrales y catastrales.</w:t>
      </w:r>
    </w:p>
    <w:p w:rsidR="00651A9A" w:rsidRPr="00830AC3" w:rsidRDefault="008873CA" w:rsidP="00651A9A">
      <w:pPr>
        <w:pStyle w:val="Prrafodelista"/>
        <w:numPr>
          <w:ilvl w:val="0"/>
          <w:numId w:val="30"/>
        </w:numPr>
        <w:spacing w:before="240"/>
        <w:contextualSpacing w:val="0"/>
        <w:jc w:val="both"/>
      </w:pPr>
      <w:r w:rsidRPr="00830AC3">
        <w:t>Da igual utilizar la superficie útil o construida, incluso se pueden mezclar si hay varios inmuebles.</w:t>
      </w:r>
    </w:p>
    <w:p w:rsidR="00651A9A" w:rsidRPr="00830AC3" w:rsidRDefault="008873CA" w:rsidP="00651A9A">
      <w:pPr>
        <w:pStyle w:val="Prrafodelista"/>
        <w:numPr>
          <w:ilvl w:val="0"/>
          <w:numId w:val="30"/>
        </w:numPr>
        <w:spacing w:before="240"/>
        <w:contextualSpacing w:val="0"/>
        <w:jc w:val="both"/>
      </w:pPr>
      <w:r w:rsidRPr="00830AC3">
        <w:t>A efectos orientativos, la superficie útil es mayor en un 10% a la superficie construida al contar con las partes comunes.</w:t>
      </w:r>
    </w:p>
    <w:p w:rsidR="00651A9A" w:rsidRPr="00830AC3" w:rsidRDefault="00035EEF" w:rsidP="00651A9A">
      <w:pPr>
        <w:pStyle w:val="Prrafodelista"/>
        <w:numPr>
          <w:ilvl w:val="0"/>
          <w:numId w:val="30"/>
        </w:numPr>
        <w:spacing w:before="240"/>
        <w:contextualSpacing w:val="0"/>
        <w:jc w:val="both"/>
      </w:pPr>
      <w:r w:rsidRPr="00830AC3">
        <w:t>Ninguna de las anteriores.</w:t>
      </w:r>
    </w:p>
    <w:p w:rsidR="00651A9A" w:rsidRPr="00830AC3" w:rsidRDefault="00862318" w:rsidP="00651A9A">
      <w:pPr>
        <w:pStyle w:val="Prrafodelista"/>
        <w:numPr>
          <w:ilvl w:val="0"/>
          <w:numId w:val="23"/>
        </w:numPr>
        <w:spacing w:before="240"/>
        <w:ind w:left="714" w:hanging="357"/>
        <w:contextualSpacing w:val="0"/>
        <w:jc w:val="both"/>
        <w:rPr>
          <w:b/>
        </w:rPr>
      </w:pPr>
      <w:r w:rsidRPr="00830AC3">
        <w:rPr>
          <w:b/>
        </w:rPr>
        <w:t>En cuanto a la depreciación de un inmueble…</w:t>
      </w:r>
    </w:p>
    <w:p w:rsidR="005E584F" w:rsidRPr="00830AC3" w:rsidRDefault="001C0A32" w:rsidP="00676F33">
      <w:pPr>
        <w:pStyle w:val="Prrafodelista"/>
        <w:numPr>
          <w:ilvl w:val="0"/>
          <w:numId w:val="31"/>
        </w:numPr>
        <w:spacing w:before="240"/>
        <w:contextualSpacing w:val="0"/>
        <w:jc w:val="both"/>
      </w:pPr>
      <w:r w:rsidRPr="00830AC3">
        <w:t>Se determinan siempre dos tipos de depreciación: física y funcional.</w:t>
      </w:r>
    </w:p>
    <w:p w:rsidR="00676F33" w:rsidRPr="00830AC3" w:rsidRDefault="001C0A32" w:rsidP="00676F33">
      <w:pPr>
        <w:pStyle w:val="Prrafodelista"/>
        <w:numPr>
          <w:ilvl w:val="0"/>
          <w:numId w:val="31"/>
        </w:numPr>
        <w:spacing w:before="240"/>
        <w:contextualSpacing w:val="0"/>
        <w:jc w:val="both"/>
      </w:pPr>
      <w:r w:rsidRPr="00830AC3">
        <w:t>Hay veces en que la depreciación funcional no interviene en los cálculos ya que solo tiene en cuenta los costes de adaptación de un inmueble para un uso, y esos costes de adaptación pueden ser cero.</w:t>
      </w:r>
    </w:p>
    <w:p w:rsidR="00676F33" w:rsidRPr="00830AC3" w:rsidRDefault="001C0A32" w:rsidP="00676F33">
      <w:pPr>
        <w:pStyle w:val="Prrafodelista"/>
        <w:numPr>
          <w:ilvl w:val="0"/>
          <w:numId w:val="31"/>
        </w:numPr>
        <w:spacing w:before="240"/>
        <w:contextualSpacing w:val="0"/>
        <w:jc w:val="both"/>
      </w:pPr>
      <w:r w:rsidRPr="00830AC3">
        <w:t>Cuando restamos al Valor de Reemplazamiento Bruto la depreciación, obtenemos el Valor de Reemplazamiento Neto.</w:t>
      </w:r>
    </w:p>
    <w:p w:rsidR="00676F33" w:rsidRPr="00830AC3" w:rsidRDefault="001C0A32" w:rsidP="00676F33">
      <w:pPr>
        <w:pStyle w:val="Prrafodelista"/>
        <w:numPr>
          <w:ilvl w:val="0"/>
          <w:numId w:val="31"/>
        </w:numPr>
        <w:spacing w:before="240"/>
        <w:contextualSpacing w:val="0"/>
        <w:jc w:val="both"/>
      </w:pPr>
      <w:r w:rsidRPr="00830AC3">
        <w:t>Las respuestas a), b) y c) son correctas.</w:t>
      </w:r>
    </w:p>
    <w:p w:rsidR="00676F33" w:rsidRPr="00830AC3" w:rsidRDefault="003D5083" w:rsidP="00676F33">
      <w:pPr>
        <w:pStyle w:val="Prrafodelista"/>
        <w:numPr>
          <w:ilvl w:val="0"/>
          <w:numId w:val="23"/>
        </w:numPr>
        <w:spacing w:before="240"/>
        <w:ind w:left="714" w:hanging="357"/>
        <w:contextualSpacing w:val="0"/>
        <w:jc w:val="both"/>
        <w:rPr>
          <w:b/>
        </w:rPr>
      </w:pPr>
      <w:r w:rsidRPr="00830AC3">
        <w:rPr>
          <w:b/>
        </w:rPr>
        <w:t>Dentro del Método Residual Dinámico, una de las fases más importantes está en la elección del tipo de actualización, con lo que se deben tener en cuenta los siguientes puntos:</w:t>
      </w:r>
    </w:p>
    <w:p w:rsidR="00304A62" w:rsidRPr="00830AC3" w:rsidRDefault="003D5083" w:rsidP="00304A62">
      <w:pPr>
        <w:pStyle w:val="Prrafodelista"/>
        <w:numPr>
          <w:ilvl w:val="0"/>
          <w:numId w:val="32"/>
        </w:numPr>
        <w:spacing w:before="240"/>
        <w:contextualSpacing w:val="0"/>
        <w:jc w:val="both"/>
      </w:pPr>
      <w:r w:rsidRPr="00830AC3">
        <w:t>Según la Orden ECO/805/2003, dicha tasa será la suma de dos sumandos: la Tasa Libre de Riesgo y la Prima de Riesgo.</w:t>
      </w:r>
    </w:p>
    <w:p w:rsidR="00304A62" w:rsidRPr="00830AC3" w:rsidRDefault="0060777E" w:rsidP="00304A62">
      <w:pPr>
        <w:pStyle w:val="Prrafodelista"/>
        <w:numPr>
          <w:ilvl w:val="0"/>
          <w:numId w:val="32"/>
        </w:numPr>
        <w:spacing w:before="240"/>
        <w:contextualSpacing w:val="0"/>
        <w:jc w:val="both"/>
      </w:pPr>
      <w:r w:rsidRPr="00830AC3">
        <w:t>Se trabajará con intereses nominales, nunca reales, por lo que no se tendrán en cuenta las actualizaciones del IPC.</w:t>
      </w:r>
    </w:p>
    <w:p w:rsidR="00304A62" w:rsidRPr="00830AC3" w:rsidRDefault="0060777E" w:rsidP="00304A62">
      <w:pPr>
        <w:pStyle w:val="Prrafodelista"/>
        <w:numPr>
          <w:ilvl w:val="0"/>
          <w:numId w:val="32"/>
        </w:numPr>
        <w:spacing w:before="240"/>
        <w:contextualSpacing w:val="0"/>
        <w:jc w:val="both"/>
      </w:pPr>
      <w:r w:rsidRPr="00830AC3">
        <w:t>La Prima de Riesgo es una información que debe poseer el tasador y que no se puede ni estimar ni inventar.</w:t>
      </w:r>
    </w:p>
    <w:p w:rsidR="00304A62" w:rsidRPr="00830AC3" w:rsidRDefault="0060777E" w:rsidP="00304A62">
      <w:pPr>
        <w:pStyle w:val="Prrafodelista"/>
        <w:numPr>
          <w:ilvl w:val="0"/>
          <w:numId w:val="32"/>
        </w:numPr>
        <w:spacing w:before="240"/>
        <w:contextualSpacing w:val="0"/>
        <w:jc w:val="both"/>
      </w:pPr>
      <w:r w:rsidRPr="00830AC3">
        <w:t>La a) y la c) son correctas.</w:t>
      </w:r>
    </w:p>
    <w:p w:rsidR="00304A62" w:rsidRPr="00830AC3" w:rsidRDefault="00D62359" w:rsidP="00881735">
      <w:pPr>
        <w:pStyle w:val="Prrafodelista"/>
        <w:numPr>
          <w:ilvl w:val="0"/>
          <w:numId w:val="23"/>
        </w:numPr>
        <w:spacing w:before="240"/>
        <w:contextualSpacing w:val="0"/>
        <w:jc w:val="both"/>
        <w:rPr>
          <w:b/>
        </w:rPr>
      </w:pPr>
      <w:r w:rsidRPr="00830AC3">
        <w:rPr>
          <w:b/>
        </w:rPr>
        <w:t>Para la aplicación del Método de Actualización de Rentas, es necesario que…</w:t>
      </w:r>
    </w:p>
    <w:p w:rsidR="00304A62" w:rsidRPr="00830AC3" w:rsidRDefault="00D62359" w:rsidP="00881735">
      <w:pPr>
        <w:pStyle w:val="Prrafodelista"/>
        <w:numPr>
          <w:ilvl w:val="0"/>
          <w:numId w:val="33"/>
        </w:numPr>
        <w:spacing w:before="240"/>
        <w:contextualSpacing w:val="0"/>
        <w:jc w:val="both"/>
      </w:pPr>
      <w:r w:rsidRPr="00830AC3">
        <w:t>Existencia de un mercado de alquileres representativo y comparable al inmueble a valorar.</w:t>
      </w:r>
    </w:p>
    <w:p w:rsidR="00304A62" w:rsidRPr="00830AC3" w:rsidRDefault="00D62359" w:rsidP="00881735">
      <w:pPr>
        <w:pStyle w:val="Prrafodelista"/>
        <w:numPr>
          <w:ilvl w:val="0"/>
          <w:numId w:val="33"/>
        </w:numPr>
        <w:spacing w:before="240"/>
        <w:contextualSpacing w:val="0"/>
        <w:jc w:val="both"/>
      </w:pPr>
      <w:r w:rsidRPr="00830AC3">
        <w:t>Que el inmueble valorado esté produciendo o pueda producir ingresos como inmueble ligado a una actividad económica y que además existan suficientes datos contables de la explotación o información adecuada sobre ratios estructurales medias de la rama de actividad correspondiente.</w:t>
      </w:r>
    </w:p>
    <w:p w:rsidR="00304A62" w:rsidRPr="00830AC3" w:rsidRDefault="00D62359" w:rsidP="00D62359">
      <w:pPr>
        <w:pStyle w:val="Prrafodelista"/>
        <w:numPr>
          <w:ilvl w:val="0"/>
          <w:numId w:val="33"/>
        </w:numPr>
        <w:spacing w:before="240"/>
        <w:contextualSpacing w:val="0"/>
        <w:jc w:val="both"/>
      </w:pPr>
      <w:r w:rsidRPr="00830AC3">
        <w:t>La existencia de un contrato de arrendamiento sobre el inmueble a valorar, aunque éste haya expirado.</w:t>
      </w:r>
    </w:p>
    <w:p w:rsidR="00304A62" w:rsidRPr="00830AC3" w:rsidRDefault="00D62359" w:rsidP="00881735">
      <w:pPr>
        <w:pStyle w:val="Prrafodelista"/>
        <w:numPr>
          <w:ilvl w:val="0"/>
          <w:numId w:val="33"/>
        </w:numPr>
        <w:spacing w:before="240"/>
        <w:contextualSpacing w:val="0"/>
        <w:jc w:val="both"/>
      </w:pPr>
      <w:r w:rsidRPr="00830AC3">
        <w:lastRenderedPageBreak/>
        <w:t>La a) y la b) son correctas.</w:t>
      </w:r>
      <w:bookmarkEnd w:id="1"/>
    </w:p>
    <w:sectPr w:rsidR="00304A62" w:rsidRPr="00830AC3" w:rsidSect="00186F15">
      <w:footerReference w:type="default" r:id="rId10"/>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48A" w:rsidRDefault="00E6648A" w:rsidP="00186F15">
      <w:pPr>
        <w:spacing w:after="0" w:line="240" w:lineRule="auto"/>
      </w:pPr>
      <w:r>
        <w:separator/>
      </w:r>
    </w:p>
  </w:endnote>
  <w:endnote w:type="continuationSeparator" w:id="0">
    <w:p w:rsidR="00E6648A" w:rsidRDefault="00E6648A" w:rsidP="0018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086371"/>
      <w:docPartObj>
        <w:docPartGallery w:val="Page Numbers (Bottom of Page)"/>
        <w:docPartUnique/>
      </w:docPartObj>
    </w:sdtPr>
    <w:sdtEndPr/>
    <w:sdtContent>
      <w:p w:rsidR="00186F15" w:rsidRDefault="00900C5E">
        <w:pPr>
          <w:pStyle w:val="Piedepgina"/>
          <w:jc w:val="right"/>
        </w:pPr>
        <w:r>
          <w:t>PORTADA</w:t>
        </w:r>
      </w:p>
    </w:sdtContent>
  </w:sdt>
  <w:p w:rsidR="00186F15" w:rsidRDefault="00186F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739919"/>
      <w:docPartObj>
        <w:docPartGallery w:val="Page Numbers (Bottom of Page)"/>
        <w:docPartUnique/>
      </w:docPartObj>
    </w:sdtPr>
    <w:sdtEndPr/>
    <w:sdtContent>
      <w:p w:rsidR="00900C5E" w:rsidRDefault="00900C5E">
        <w:pPr>
          <w:pStyle w:val="Piedepgina"/>
          <w:jc w:val="right"/>
        </w:pPr>
        <w:r>
          <w:t>ÍNDICE</w:t>
        </w:r>
      </w:p>
    </w:sdtContent>
  </w:sdt>
  <w:p w:rsidR="00900C5E" w:rsidRDefault="00900C5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901884"/>
      <w:docPartObj>
        <w:docPartGallery w:val="Page Numbers (Bottom of Page)"/>
        <w:docPartUnique/>
      </w:docPartObj>
    </w:sdtPr>
    <w:sdtEndPr/>
    <w:sdtContent>
      <w:p w:rsidR="00186F15" w:rsidRDefault="00186F15">
        <w:pPr>
          <w:pStyle w:val="Piedepgina"/>
          <w:jc w:val="right"/>
        </w:pPr>
        <w:r>
          <w:fldChar w:fldCharType="begin"/>
        </w:r>
        <w:r>
          <w:instrText>PAGE   \* MERGEFORMAT</w:instrText>
        </w:r>
        <w:r>
          <w:fldChar w:fldCharType="separate"/>
        </w:r>
        <w:r w:rsidR="00830AC3">
          <w:rPr>
            <w:noProof/>
          </w:rPr>
          <w:t>4</w:t>
        </w:r>
        <w:r>
          <w:fldChar w:fldCharType="end"/>
        </w:r>
      </w:p>
    </w:sdtContent>
  </w:sdt>
  <w:p w:rsidR="00186F15" w:rsidRDefault="00186F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48A" w:rsidRDefault="00E6648A" w:rsidP="00186F15">
      <w:pPr>
        <w:spacing w:after="0" w:line="240" w:lineRule="auto"/>
      </w:pPr>
      <w:r>
        <w:separator/>
      </w:r>
    </w:p>
  </w:footnote>
  <w:footnote w:type="continuationSeparator" w:id="0">
    <w:p w:rsidR="00E6648A" w:rsidRDefault="00E6648A" w:rsidP="00186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53A"/>
    <w:multiLevelType w:val="multilevel"/>
    <w:tmpl w:val="7F7C240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8F2256"/>
    <w:multiLevelType w:val="multilevel"/>
    <w:tmpl w:val="7F7C240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A1226B"/>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12BB43CF"/>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148E4150"/>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189F4786"/>
    <w:multiLevelType w:val="hybridMultilevel"/>
    <w:tmpl w:val="D458D622"/>
    <w:lvl w:ilvl="0" w:tplc="7ABAC5DA">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8A363D"/>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217C4ADC"/>
    <w:multiLevelType w:val="hybridMultilevel"/>
    <w:tmpl w:val="46187AB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8" w15:restartNumberingAfterBreak="0">
    <w:nsid w:val="23326427"/>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25335D9E"/>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26E302B5"/>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27A0703A"/>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302C39EB"/>
    <w:multiLevelType w:val="hybridMultilevel"/>
    <w:tmpl w:val="1706B90C"/>
    <w:lvl w:ilvl="0" w:tplc="0824982A">
      <w:start w:val="1"/>
      <w:numFmt w:val="decimal"/>
      <w:pStyle w:val="Ttulo2"/>
      <w:lvlText w:val="3.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F724FC"/>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345B4681"/>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38083BDB"/>
    <w:multiLevelType w:val="multilevel"/>
    <w:tmpl w:val="DDA0D144"/>
    <w:lvl w:ilvl="0">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3CA96457"/>
    <w:multiLevelType w:val="hybridMultilevel"/>
    <w:tmpl w:val="726AB114"/>
    <w:lvl w:ilvl="0" w:tplc="869A33F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409C6FBC"/>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469761B3"/>
    <w:multiLevelType w:val="hybridMultilevel"/>
    <w:tmpl w:val="A1C8FA0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9" w15:restartNumberingAfterBreak="0">
    <w:nsid w:val="4DA31F38"/>
    <w:multiLevelType w:val="hybridMultilevel"/>
    <w:tmpl w:val="AD34584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15:restartNumberingAfterBreak="0">
    <w:nsid w:val="4FBC13E9"/>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15:restartNumberingAfterBreak="0">
    <w:nsid w:val="505D431B"/>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50657B56"/>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15:restartNumberingAfterBreak="0">
    <w:nsid w:val="55707D7A"/>
    <w:multiLevelType w:val="multilevel"/>
    <w:tmpl w:val="6BA8636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5C9206FF"/>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66A50F75"/>
    <w:multiLevelType w:val="hybridMultilevel"/>
    <w:tmpl w:val="565EB35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6E3D675E"/>
    <w:multiLevelType w:val="hybridMultilevel"/>
    <w:tmpl w:val="6192B5A6"/>
    <w:lvl w:ilvl="0" w:tplc="06D8D5C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5"/>
  </w:num>
  <w:num w:numId="2">
    <w:abstractNumId w:val="21"/>
  </w:num>
  <w:num w:numId="3">
    <w:abstractNumId w:val="22"/>
  </w:num>
  <w:num w:numId="4">
    <w:abstractNumId w:val="3"/>
  </w:num>
  <w:num w:numId="5">
    <w:abstractNumId w:val="14"/>
  </w:num>
  <w:num w:numId="6">
    <w:abstractNumId w:val="9"/>
  </w:num>
  <w:num w:numId="7">
    <w:abstractNumId w:val="13"/>
  </w:num>
  <w:num w:numId="8">
    <w:abstractNumId w:val="20"/>
  </w:num>
  <w:num w:numId="9">
    <w:abstractNumId w:val="23"/>
  </w:num>
  <w:num w:numId="10">
    <w:abstractNumId w:val="5"/>
  </w:num>
  <w:num w:numId="11">
    <w:abstractNumId w:val="1"/>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9"/>
  </w:num>
  <w:num w:numId="20">
    <w:abstractNumId w:val="7"/>
  </w:num>
  <w:num w:numId="21">
    <w:abstractNumId w:val="18"/>
  </w:num>
  <w:num w:numId="22">
    <w:abstractNumId w:val="25"/>
  </w:num>
  <w:num w:numId="23">
    <w:abstractNumId w:val="0"/>
  </w:num>
  <w:num w:numId="24">
    <w:abstractNumId w:val="16"/>
  </w:num>
  <w:num w:numId="25">
    <w:abstractNumId w:val="24"/>
  </w:num>
  <w:num w:numId="26">
    <w:abstractNumId w:val="6"/>
  </w:num>
  <w:num w:numId="27">
    <w:abstractNumId w:val="17"/>
  </w:num>
  <w:num w:numId="28">
    <w:abstractNumId w:val="11"/>
  </w:num>
  <w:num w:numId="29">
    <w:abstractNumId w:val="4"/>
  </w:num>
  <w:num w:numId="30">
    <w:abstractNumId w:val="26"/>
  </w:num>
  <w:num w:numId="31">
    <w:abstractNumId w:val="8"/>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7E"/>
    <w:rsid w:val="00006947"/>
    <w:rsid w:val="00014919"/>
    <w:rsid w:val="00035EEF"/>
    <w:rsid w:val="00053CC0"/>
    <w:rsid w:val="00075641"/>
    <w:rsid w:val="000B0C7D"/>
    <w:rsid w:val="00100CDC"/>
    <w:rsid w:val="00143A93"/>
    <w:rsid w:val="00162A3F"/>
    <w:rsid w:val="0017368F"/>
    <w:rsid w:val="00186F15"/>
    <w:rsid w:val="001910C7"/>
    <w:rsid w:val="001B114A"/>
    <w:rsid w:val="001C0A32"/>
    <w:rsid w:val="001F7D2B"/>
    <w:rsid w:val="00207533"/>
    <w:rsid w:val="002140A0"/>
    <w:rsid w:val="00237C19"/>
    <w:rsid w:val="00271DBB"/>
    <w:rsid w:val="002900ED"/>
    <w:rsid w:val="002A2108"/>
    <w:rsid w:val="002B429D"/>
    <w:rsid w:val="002B52B3"/>
    <w:rsid w:val="002C4BE8"/>
    <w:rsid w:val="002F2715"/>
    <w:rsid w:val="002F4F4A"/>
    <w:rsid w:val="002F73D9"/>
    <w:rsid w:val="00304A62"/>
    <w:rsid w:val="00330537"/>
    <w:rsid w:val="0036752D"/>
    <w:rsid w:val="00393248"/>
    <w:rsid w:val="003945B9"/>
    <w:rsid w:val="003A2A17"/>
    <w:rsid w:val="003B6035"/>
    <w:rsid w:val="003D5083"/>
    <w:rsid w:val="003F474C"/>
    <w:rsid w:val="00420611"/>
    <w:rsid w:val="00445268"/>
    <w:rsid w:val="0045228A"/>
    <w:rsid w:val="00454911"/>
    <w:rsid w:val="00457739"/>
    <w:rsid w:val="00476C00"/>
    <w:rsid w:val="00476EE2"/>
    <w:rsid w:val="00482CA3"/>
    <w:rsid w:val="00486CB4"/>
    <w:rsid w:val="00494FDA"/>
    <w:rsid w:val="004A04CA"/>
    <w:rsid w:val="004C5D03"/>
    <w:rsid w:val="005575CC"/>
    <w:rsid w:val="00566CE7"/>
    <w:rsid w:val="005C32D5"/>
    <w:rsid w:val="005D6678"/>
    <w:rsid w:val="005E584F"/>
    <w:rsid w:val="005F17C6"/>
    <w:rsid w:val="0060777E"/>
    <w:rsid w:val="00611C01"/>
    <w:rsid w:val="00651A9A"/>
    <w:rsid w:val="00656BB8"/>
    <w:rsid w:val="00676F33"/>
    <w:rsid w:val="00685DBC"/>
    <w:rsid w:val="006D0C73"/>
    <w:rsid w:val="006F2CAE"/>
    <w:rsid w:val="00707923"/>
    <w:rsid w:val="00715791"/>
    <w:rsid w:val="00731D6E"/>
    <w:rsid w:val="00736425"/>
    <w:rsid w:val="00771D6F"/>
    <w:rsid w:val="007B3D89"/>
    <w:rsid w:val="008023E1"/>
    <w:rsid w:val="00813C2E"/>
    <w:rsid w:val="00822240"/>
    <w:rsid w:val="00824907"/>
    <w:rsid w:val="00830AC3"/>
    <w:rsid w:val="0084003E"/>
    <w:rsid w:val="00844048"/>
    <w:rsid w:val="008462C4"/>
    <w:rsid w:val="00862318"/>
    <w:rsid w:val="00873FBD"/>
    <w:rsid w:val="00881735"/>
    <w:rsid w:val="008873CA"/>
    <w:rsid w:val="008C4CD4"/>
    <w:rsid w:val="008D64D4"/>
    <w:rsid w:val="008F1ED4"/>
    <w:rsid w:val="00900C5E"/>
    <w:rsid w:val="00901294"/>
    <w:rsid w:val="0091574D"/>
    <w:rsid w:val="00927C57"/>
    <w:rsid w:val="00933CCC"/>
    <w:rsid w:val="0099053F"/>
    <w:rsid w:val="009D44DB"/>
    <w:rsid w:val="009D5E2E"/>
    <w:rsid w:val="009F138A"/>
    <w:rsid w:val="00A07130"/>
    <w:rsid w:val="00A078DC"/>
    <w:rsid w:val="00AA7945"/>
    <w:rsid w:val="00AB401F"/>
    <w:rsid w:val="00AD0A04"/>
    <w:rsid w:val="00AD7E2F"/>
    <w:rsid w:val="00AF7247"/>
    <w:rsid w:val="00B104E3"/>
    <w:rsid w:val="00B26640"/>
    <w:rsid w:val="00B4538B"/>
    <w:rsid w:val="00B77EF3"/>
    <w:rsid w:val="00B80680"/>
    <w:rsid w:val="00B83F89"/>
    <w:rsid w:val="00B87501"/>
    <w:rsid w:val="00BA6A90"/>
    <w:rsid w:val="00BD017E"/>
    <w:rsid w:val="00C70F64"/>
    <w:rsid w:val="00C86516"/>
    <w:rsid w:val="00CB1A4E"/>
    <w:rsid w:val="00CC48AC"/>
    <w:rsid w:val="00CE017B"/>
    <w:rsid w:val="00CF16C8"/>
    <w:rsid w:val="00D06AF2"/>
    <w:rsid w:val="00D27AB9"/>
    <w:rsid w:val="00D306F5"/>
    <w:rsid w:val="00D342A1"/>
    <w:rsid w:val="00D36994"/>
    <w:rsid w:val="00D44095"/>
    <w:rsid w:val="00D62359"/>
    <w:rsid w:val="00D6795F"/>
    <w:rsid w:val="00D71045"/>
    <w:rsid w:val="00D725A3"/>
    <w:rsid w:val="00D87313"/>
    <w:rsid w:val="00DE3659"/>
    <w:rsid w:val="00E0344E"/>
    <w:rsid w:val="00E1377A"/>
    <w:rsid w:val="00E63009"/>
    <w:rsid w:val="00E6648A"/>
    <w:rsid w:val="00E73CA8"/>
    <w:rsid w:val="00E877CC"/>
    <w:rsid w:val="00EC116C"/>
    <w:rsid w:val="00EE2FB0"/>
    <w:rsid w:val="00EE5F4A"/>
    <w:rsid w:val="00F72307"/>
    <w:rsid w:val="00F72E27"/>
    <w:rsid w:val="00F851F5"/>
    <w:rsid w:val="00F9285B"/>
    <w:rsid w:val="00F94822"/>
    <w:rsid w:val="00FA2BF7"/>
    <w:rsid w:val="00FC0F9E"/>
    <w:rsid w:val="00FE1B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0D53EE-7B3B-4FE7-8CEC-E5B3BDB0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C5E"/>
  </w:style>
  <w:style w:type="paragraph" w:styleId="Ttulo1">
    <w:name w:val="heading 1"/>
    <w:basedOn w:val="Normal"/>
    <w:next w:val="Normal"/>
    <w:link w:val="Ttulo1Car"/>
    <w:uiPriority w:val="9"/>
    <w:qFormat/>
    <w:rsid w:val="00D679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6795F"/>
    <w:pPr>
      <w:keepNext/>
      <w:keepLines/>
      <w:numPr>
        <w:numId w:val="12"/>
      </w:num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248"/>
    <w:pPr>
      <w:ind w:left="720"/>
      <w:contextualSpacing/>
    </w:pPr>
  </w:style>
  <w:style w:type="character" w:customStyle="1" w:styleId="Ttulo1Car">
    <w:name w:val="Título 1 Car"/>
    <w:basedOn w:val="Fuentedeprrafopredeter"/>
    <w:link w:val="Ttulo1"/>
    <w:uiPriority w:val="9"/>
    <w:rsid w:val="00D6795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6795F"/>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330537"/>
    <w:pPr>
      <w:outlineLvl w:val="9"/>
    </w:pPr>
    <w:rPr>
      <w:lang w:eastAsia="es-ES"/>
    </w:rPr>
  </w:style>
  <w:style w:type="paragraph" w:styleId="ndice1">
    <w:name w:val="index 1"/>
    <w:basedOn w:val="Normal"/>
    <w:next w:val="Normal"/>
    <w:autoRedefine/>
    <w:uiPriority w:val="99"/>
    <w:semiHidden/>
    <w:unhideWhenUsed/>
    <w:rsid w:val="00330537"/>
    <w:pPr>
      <w:spacing w:after="0" w:line="240" w:lineRule="auto"/>
      <w:ind w:left="220" w:hanging="220"/>
    </w:pPr>
  </w:style>
  <w:style w:type="paragraph" w:styleId="TDC1">
    <w:name w:val="toc 1"/>
    <w:basedOn w:val="Normal"/>
    <w:next w:val="Normal"/>
    <w:autoRedefine/>
    <w:uiPriority w:val="39"/>
    <w:unhideWhenUsed/>
    <w:rsid w:val="00330537"/>
    <w:pPr>
      <w:spacing w:after="100"/>
    </w:pPr>
  </w:style>
  <w:style w:type="paragraph" w:styleId="TDC2">
    <w:name w:val="toc 2"/>
    <w:basedOn w:val="Normal"/>
    <w:next w:val="Normal"/>
    <w:autoRedefine/>
    <w:uiPriority w:val="39"/>
    <w:unhideWhenUsed/>
    <w:rsid w:val="00330537"/>
    <w:pPr>
      <w:spacing w:after="100"/>
      <w:ind w:left="220"/>
    </w:pPr>
  </w:style>
  <w:style w:type="character" w:styleId="Hipervnculo">
    <w:name w:val="Hyperlink"/>
    <w:basedOn w:val="Fuentedeprrafopredeter"/>
    <w:uiPriority w:val="99"/>
    <w:unhideWhenUsed/>
    <w:rsid w:val="00330537"/>
    <w:rPr>
      <w:color w:val="0563C1" w:themeColor="hyperlink"/>
      <w:u w:val="single"/>
    </w:rPr>
  </w:style>
  <w:style w:type="paragraph" w:styleId="Encabezado">
    <w:name w:val="header"/>
    <w:basedOn w:val="Normal"/>
    <w:link w:val="EncabezadoCar"/>
    <w:uiPriority w:val="99"/>
    <w:unhideWhenUsed/>
    <w:rsid w:val="00186F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6F15"/>
  </w:style>
  <w:style w:type="paragraph" w:styleId="Piedepgina">
    <w:name w:val="footer"/>
    <w:basedOn w:val="Normal"/>
    <w:link w:val="PiedepginaCar"/>
    <w:uiPriority w:val="99"/>
    <w:unhideWhenUsed/>
    <w:rsid w:val="00186F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E053-B456-4B94-A462-37EB7B0E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954</Words>
  <Characters>5249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2018-06-21T21:25:00Z</dcterms:created>
  <dcterms:modified xsi:type="dcterms:W3CDTF">2018-06-21T21:25:00Z</dcterms:modified>
</cp:coreProperties>
</file>